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801" w:tblpY="1618"/>
        <w:tblOverlap w:val="never"/>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665"/>
        <w:gridCol w:w="525"/>
        <w:gridCol w:w="617"/>
        <w:gridCol w:w="544"/>
        <w:gridCol w:w="644"/>
        <w:gridCol w:w="644"/>
        <w:gridCol w:w="507"/>
        <w:gridCol w:w="715"/>
        <w:gridCol w:w="554"/>
        <w:gridCol w:w="681"/>
        <w:gridCol w:w="727"/>
        <w:gridCol w:w="720"/>
        <w:gridCol w:w="818"/>
        <w:gridCol w:w="729"/>
        <w:gridCol w:w="950"/>
      </w:tblGrid>
      <w:tr w14:paraId="7592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6"/>
            <w:noWrap w:val="0"/>
            <w:vAlign w:val="center"/>
          </w:tcPr>
          <w:p w14:paraId="45A9783F">
            <w:pPr>
              <w:spacing w:line="420" w:lineRule="exact"/>
              <w:ind w:firstLine="1687" w:firstLineChars="600"/>
              <w:jc w:val="both"/>
              <w:rPr>
                <w:rFonts w:hint="eastAsia" w:ascii="宋体" w:hAnsi="宋体" w:cs="宋体"/>
                <w:b/>
                <w:bCs w:val="0"/>
                <w:color w:val="000000" w:themeColor="text1"/>
                <w:sz w:val="24"/>
                <w:szCs w:val="24"/>
                <w:highlight w:val="none"/>
                <w14:textFill>
                  <w14:solidFill>
                    <w14:schemeClr w14:val="tx1"/>
                  </w14:solidFill>
                </w14:textFill>
              </w:rPr>
            </w:pPr>
            <w:r>
              <w:rPr>
                <w:rFonts w:hint="eastAsia" w:ascii="黑体" w:hAnsi="黑体" w:eastAsia="黑体" w:cs="黑体"/>
                <w:b/>
                <w:bCs w:val="0"/>
                <w:color w:val="000000" w:themeColor="text1"/>
                <w:sz w:val="28"/>
                <w:szCs w:val="28"/>
                <w:highlight w:val="none"/>
                <w14:textFill>
                  <w14:solidFill>
                    <w14:schemeClr w14:val="tx1"/>
                  </w14:solidFill>
                </w14:textFill>
              </w:rPr>
              <w:t>本周“核心</w:t>
            </w:r>
            <w:r>
              <w:rPr>
                <w:rFonts w:ascii="黑体" w:hAnsi="黑体" w:eastAsia="黑体" w:cs="黑体"/>
                <w:b/>
                <w:bCs w:val="0"/>
                <w:color w:val="000000" w:themeColor="text1"/>
                <w:sz w:val="28"/>
                <w:szCs w:val="28"/>
                <w:highlight w:val="none"/>
                <w14:textFill>
                  <w14:solidFill>
                    <w14:schemeClr w14:val="tx1"/>
                  </w14:solidFill>
                </w14:textFill>
              </w:rPr>
              <w:t>素养导向</w:t>
            </w:r>
            <w:r>
              <w:rPr>
                <w:rFonts w:hint="eastAsia" w:ascii="黑体" w:hAnsi="黑体" w:eastAsia="黑体" w:cs="黑体"/>
                <w:b/>
                <w:bCs w:val="0"/>
                <w:color w:val="000000" w:themeColor="text1"/>
                <w:sz w:val="28"/>
                <w:szCs w:val="28"/>
                <w:highlight w:val="none"/>
                <w14:textFill>
                  <w14:solidFill>
                    <w14:schemeClr w14:val="tx1"/>
                  </w14:solidFill>
                </w14:textFill>
              </w:rPr>
              <w:t>的</w:t>
            </w:r>
            <w:r>
              <w:rPr>
                <w:rFonts w:ascii="黑体" w:hAnsi="黑体" w:eastAsia="黑体" w:cs="黑体"/>
                <w:b/>
                <w:bCs w:val="0"/>
                <w:color w:val="000000" w:themeColor="text1"/>
                <w:sz w:val="28"/>
                <w:szCs w:val="28"/>
                <w:highlight w:val="none"/>
                <w14:textFill>
                  <w14:solidFill>
                    <w14:schemeClr w14:val="tx1"/>
                  </w14:solidFill>
                </w14:textFill>
              </w:rPr>
              <w:t>课堂教学</w:t>
            </w:r>
            <w:r>
              <w:rPr>
                <w:rFonts w:hint="eastAsia" w:ascii="黑体" w:hAnsi="黑体" w:eastAsia="黑体" w:cs="黑体"/>
                <w:b/>
                <w:bCs w:val="0"/>
                <w:color w:val="000000" w:themeColor="text1"/>
                <w:sz w:val="28"/>
                <w:szCs w:val="28"/>
                <w:highlight w:val="none"/>
                <w14:textFill>
                  <w14:solidFill>
                    <w14:schemeClr w14:val="tx1"/>
                  </w14:solidFill>
                </w14:textFill>
              </w:rPr>
              <w:t>”</w:t>
            </w:r>
            <w:r>
              <w:rPr>
                <w:rFonts w:hint="eastAsia" w:ascii="黑体" w:hAnsi="黑体" w:eastAsia="黑体" w:cs="黑体"/>
                <w:b/>
                <w:bCs w:val="0"/>
                <w:color w:val="000000" w:themeColor="text1"/>
                <w:sz w:val="28"/>
                <w:szCs w:val="28"/>
                <w:highlight w:val="none"/>
                <w:lang w:val="en-US" w:eastAsia="zh-CN"/>
                <w14:textFill>
                  <w14:solidFill>
                    <w14:schemeClr w14:val="tx1"/>
                  </w14:solidFill>
                </w14:textFill>
              </w:rPr>
              <w:t>理想课堂</w:t>
            </w:r>
            <w:r>
              <w:rPr>
                <w:rFonts w:hint="eastAsia" w:ascii="黑体" w:hAnsi="黑体" w:eastAsia="黑体" w:cs="黑体"/>
                <w:b/>
                <w:bCs w:val="0"/>
                <w:color w:val="000000" w:themeColor="text1"/>
                <w:sz w:val="28"/>
                <w:szCs w:val="28"/>
                <w:highlight w:val="none"/>
                <w14:textFill>
                  <w14:solidFill>
                    <w14:schemeClr w14:val="tx1"/>
                  </w14:solidFill>
                </w14:textFill>
              </w:rPr>
              <w:t>建设</w:t>
            </w:r>
            <w:r>
              <w:rPr>
                <w:rFonts w:hint="eastAsia" w:ascii="黑体" w:hAnsi="黑体" w:eastAsia="黑体" w:cs="黑体"/>
                <w:b/>
                <w:bCs w:val="0"/>
                <w:color w:val="000000" w:themeColor="text1"/>
                <w:sz w:val="28"/>
                <w:szCs w:val="28"/>
                <w:highlight w:val="none"/>
                <w:lang w:val="en-US" w:eastAsia="zh-CN"/>
                <w14:textFill>
                  <w14:solidFill>
                    <w14:schemeClr w14:val="tx1"/>
                  </w14:solidFill>
                </w14:textFill>
              </w:rPr>
              <w:t>研修</w:t>
            </w:r>
            <w:r>
              <w:rPr>
                <w:rFonts w:hint="eastAsia" w:ascii="黑体" w:hAnsi="黑体" w:eastAsia="黑体" w:cs="黑体"/>
                <w:b/>
                <w:bCs w:val="0"/>
                <w:color w:val="000000" w:themeColor="text1"/>
                <w:sz w:val="28"/>
                <w:szCs w:val="28"/>
                <w:highlight w:val="none"/>
                <w14:textFill>
                  <w14:solidFill>
                    <w14:schemeClr w14:val="tx1"/>
                  </w14:solidFill>
                </w14:textFill>
              </w:rPr>
              <w:t>安排</w:t>
            </w:r>
          </w:p>
        </w:tc>
      </w:tr>
      <w:tr w14:paraId="655F1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16" w:type="pct"/>
            <w:noWrap w:val="0"/>
            <w:vAlign w:val="top"/>
          </w:tcPr>
          <w:p w14:paraId="12A77024">
            <w:pPr>
              <w:spacing w:line="280" w:lineRule="exact"/>
              <w:rPr>
                <w:rFonts w:hint="eastAsia" w:ascii="宋体" w:hAnsi="宋体" w:cs="宋体"/>
                <w:b/>
                <w:bCs w:val="0"/>
                <w:color w:val="000000" w:themeColor="text1"/>
                <w:sz w:val="24"/>
                <w:szCs w:val="24"/>
                <w:highlight w:val="none"/>
                <w14:textFill>
                  <w14:solidFill>
                    <w14:schemeClr w14:val="tx1"/>
                  </w14:solidFill>
                </w14:textFill>
              </w:rPr>
            </w:pPr>
          </w:p>
        </w:tc>
        <w:tc>
          <w:tcPr>
            <w:tcW w:w="860" w:type="pct"/>
            <w:gridSpan w:val="3"/>
            <w:noWrap w:val="0"/>
            <w:vAlign w:val="center"/>
          </w:tcPr>
          <w:p w14:paraId="735EFB31">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星期一</w:t>
            </w:r>
          </w:p>
        </w:tc>
        <w:tc>
          <w:tcPr>
            <w:tcW w:w="872" w:type="pct"/>
            <w:gridSpan w:val="3"/>
            <w:noWrap w:val="0"/>
            <w:vAlign w:val="center"/>
          </w:tcPr>
          <w:p w14:paraId="56A8669A">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星期二</w:t>
            </w:r>
          </w:p>
        </w:tc>
        <w:tc>
          <w:tcPr>
            <w:tcW w:w="846" w:type="pct"/>
            <w:gridSpan w:val="3"/>
            <w:noWrap w:val="0"/>
            <w:vAlign w:val="center"/>
          </w:tcPr>
          <w:p w14:paraId="6AE5C2C6">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星期三</w:t>
            </w:r>
          </w:p>
        </w:tc>
        <w:tc>
          <w:tcPr>
            <w:tcW w:w="1013" w:type="pct"/>
            <w:gridSpan w:val="3"/>
            <w:noWrap w:val="0"/>
            <w:vAlign w:val="center"/>
          </w:tcPr>
          <w:p w14:paraId="5B96B342">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星期四</w:t>
            </w:r>
          </w:p>
        </w:tc>
        <w:tc>
          <w:tcPr>
            <w:tcW w:w="1189" w:type="pct"/>
            <w:gridSpan w:val="3"/>
            <w:noWrap w:val="0"/>
            <w:vAlign w:val="center"/>
          </w:tcPr>
          <w:p w14:paraId="01BA0F1C">
            <w:pPr>
              <w:spacing w:line="280" w:lineRule="exact"/>
              <w:jc w:val="center"/>
              <w:rPr>
                <w:rFonts w:hint="default"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星期五</w:t>
            </w:r>
          </w:p>
        </w:tc>
      </w:tr>
      <w:tr w14:paraId="27C3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216" w:type="pct"/>
            <w:noWrap w:val="0"/>
            <w:vAlign w:val="center"/>
          </w:tcPr>
          <w:p w14:paraId="218B104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06F381D8">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ascii="宋体" w:hAnsi="宋体" w:cs="宋体"/>
                <w:b/>
                <w:bCs w:val="0"/>
                <w:color w:val="000000" w:themeColor="text1"/>
                <w:sz w:val="21"/>
                <w:szCs w:val="21"/>
                <w:highlight w:val="none"/>
                <w14:textFill>
                  <w14:solidFill>
                    <w14:schemeClr w14:val="tx1"/>
                  </w14:solidFill>
                </w14:textFill>
              </w:rPr>
              <w:t>1</w:t>
            </w:r>
          </w:p>
          <w:p w14:paraId="2A676C8F">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860" w:type="pct"/>
            <w:gridSpan w:val="3"/>
            <w:noWrap w:val="0"/>
            <w:vAlign w:val="center"/>
          </w:tcPr>
          <w:p w14:paraId="450B7F73">
            <w:pPr>
              <w:spacing w:line="240" w:lineRule="auto"/>
              <w:ind w:left="482" w:hanging="482" w:hangingChars="200"/>
              <w:jc w:val="center"/>
              <w:rPr>
                <w:rFonts w:hint="default"/>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4"/>
                <w:szCs w:val="24"/>
                <w:highlight w:val="none"/>
                <w:lang w:val="en-US" w:eastAsia="zh-CN" w:bidi="ar-SA"/>
                <w14:textFill>
                  <w14:solidFill>
                    <w14:schemeClr w14:val="tx1"/>
                  </w14:solidFill>
                </w14:textFill>
              </w:rPr>
              <w:t>升国旗仪式</w:t>
            </w:r>
          </w:p>
        </w:tc>
        <w:tc>
          <w:tcPr>
            <w:tcW w:w="259" w:type="pct"/>
            <w:shd w:val="clear" w:color="auto" w:fill="auto"/>
            <w:noWrap w:val="0"/>
            <w:vAlign w:val="center"/>
          </w:tcPr>
          <w:p w14:paraId="2F25872B">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语文</w:t>
            </w:r>
          </w:p>
        </w:tc>
        <w:tc>
          <w:tcPr>
            <w:tcW w:w="306" w:type="pct"/>
            <w:shd w:val="clear" w:color="auto" w:fill="auto"/>
            <w:noWrap w:val="0"/>
            <w:vAlign w:val="center"/>
          </w:tcPr>
          <w:p w14:paraId="3FAA867B">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7.6</w:t>
            </w:r>
          </w:p>
        </w:tc>
        <w:tc>
          <w:tcPr>
            <w:tcW w:w="306" w:type="pct"/>
            <w:shd w:val="clear" w:color="auto" w:fill="auto"/>
            <w:noWrap w:val="0"/>
            <w:vAlign w:val="center"/>
          </w:tcPr>
          <w:p w14:paraId="069BFA87">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张立媛</w:t>
            </w:r>
          </w:p>
        </w:tc>
        <w:tc>
          <w:tcPr>
            <w:tcW w:w="241" w:type="pct"/>
            <w:shd w:val="clear" w:color="auto" w:fill="auto"/>
            <w:noWrap w:val="0"/>
            <w:vAlign w:val="center"/>
          </w:tcPr>
          <w:p w14:paraId="7EB293CE">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数学</w:t>
            </w:r>
          </w:p>
        </w:tc>
        <w:tc>
          <w:tcPr>
            <w:tcW w:w="340" w:type="pct"/>
            <w:shd w:val="clear" w:color="auto" w:fill="auto"/>
            <w:noWrap w:val="0"/>
            <w:vAlign w:val="center"/>
          </w:tcPr>
          <w:p w14:paraId="57124FC1">
            <w:pPr>
              <w:spacing w:line="240" w:lineRule="auto"/>
              <w:ind w:firstLine="201" w:firstLineChars="100"/>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0"/>
                <w:szCs w:val="20"/>
                <w:highlight w:val="none"/>
                <w:lang w:val="en-US" w:eastAsia="zh-CN" w:bidi="ar-SA"/>
                <w14:textFill>
                  <w14:solidFill>
                    <w14:schemeClr w14:val="tx1"/>
                  </w14:solidFill>
                </w14:textFill>
              </w:rPr>
              <w:t>6.1</w:t>
            </w:r>
          </w:p>
        </w:tc>
        <w:tc>
          <w:tcPr>
            <w:tcW w:w="263" w:type="pct"/>
            <w:shd w:val="clear" w:color="auto" w:fill="auto"/>
            <w:noWrap w:val="0"/>
            <w:vAlign w:val="center"/>
          </w:tcPr>
          <w:p w14:paraId="0DDF2489">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孙晓庆</w:t>
            </w:r>
          </w:p>
        </w:tc>
        <w:tc>
          <w:tcPr>
            <w:tcW w:w="324" w:type="pct"/>
            <w:shd w:val="clear" w:color="auto" w:fill="auto"/>
            <w:noWrap w:val="0"/>
            <w:vAlign w:val="center"/>
          </w:tcPr>
          <w:p w14:paraId="7088C64F">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生物</w:t>
            </w:r>
          </w:p>
        </w:tc>
        <w:tc>
          <w:tcPr>
            <w:tcW w:w="346" w:type="pct"/>
            <w:shd w:val="clear" w:color="auto" w:fill="auto"/>
            <w:noWrap w:val="0"/>
            <w:vAlign w:val="center"/>
          </w:tcPr>
          <w:p w14:paraId="40026D0E">
            <w:pPr>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
                <w:bCs w:val="0"/>
                <w:color w:val="000000" w:themeColor="text1"/>
                <w:kern w:val="2"/>
                <w:sz w:val="21"/>
                <w:szCs w:val="21"/>
                <w:highlight w:val="none"/>
                <w:lang w:val="en-US" w:eastAsia="zh-CN" w:bidi="ar-SA"/>
                <w14:textFill>
                  <w14:solidFill>
                    <w14:schemeClr w14:val="tx1"/>
                  </w14:solidFill>
                </w14:textFill>
              </w:rPr>
              <w:t>6.7</w:t>
            </w:r>
          </w:p>
        </w:tc>
        <w:tc>
          <w:tcPr>
            <w:tcW w:w="343" w:type="pct"/>
            <w:shd w:val="clear" w:color="auto" w:fill="auto"/>
            <w:noWrap w:val="0"/>
            <w:vAlign w:val="center"/>
          </w:tcPr>
          <w:p w14:paraId="581B7C2F">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李</w:t>
            </w:r>
            <w:bookmarkStart w:id="0" w:name="_GoBack"/>
            <w:bookmarkEnd w:id="0"/>
            <w:r>
              <w:rPr>
                <w:rFonts w:hint="eastAsia" w:cs="Times New Roman"/>
                <w:b/>
                <w:bCs w:val="0"/>
                <w:color w:val="000000" w:themeColor="text1"/>
                <w:kern w:val="2"/>
                <w:sz w:val="21"/>
                <w:szCs w:val="21"/>
                <w:highlight w:val="none"/>
                <w:lang w:val="en-US" w:eastAsia="zh-CN" w:bidi="ar-SA"/>
                <w14:textFill>
                  <w14:solidFill>
                    <w14:schemeClr w14:val="tx1"/>
                  </w14:solidFill>
                </w14:textFill>
              </w:rPr>
              <w:t>扬</w:t>
            </w:r>
          </w:p>
        </w:tc>
        <w:tc>
          <w:tcPr>
            <w:tcW w:w="389" w:type="pct"/>
            <w:shd w:val="clear" w:color="auto" w:fill="auto"/>
            <w:noWrap w:val="0"/>
            <w:vAlign w:val="center"/>
          </w:tcPr>
          <w:p w14:paraId="18A830B2">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英语</w:t>
            </w:r>
          </w:p>
        </w:tc>
        <w:tc>
          <w:tcPr>
            <w:tcW w:w="347" w:type="pct"/>
            <w:shd w:val="clear" w:color="auto" w:fill="auto"/>
            <w:noWrap w:val="0"/>
            <w:vAlign w:val="center"/>
          </w:tcPr>
          <w:p w14:paraId="7FA3CC8A">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6.6</w:t>
            </w:r>
          </w:p>
        </w:tc>
        <w:tc>
          <w:tcPr>
            <w:tcW w:w="452" w:type="pct"/>
            <w:shd w:val="clear" w:color="auto" w:fill="auto"/>
            <w:noWrap w:val="0"/>
            <w:vAlign w:val="center"/>
          </w:tcPr>
          <w:p w14:paraId="50CFC1EE">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朱</w:t>
            </w:r>
          </w:p>
          <w:p w14:paraId="7A8B4693">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洪</w:t>
            </w:r>
          </w:p>
          <w:p w14:paraId="351D0502">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涛</w:t>
            </w:r>
          </w:p>
        </w:tc>
      </w:tr>
      <w:tr w14:paraId="73D3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 w:type="pct"/>
            <w:noWrap w:val="0"/>
            <w:vAlign w:val="center"/>
          </w:tcPr>
          <w:p w14:paraId="1D186070">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46C7086B">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ascii="宋体" w:hAnsi="宋体" w:cs="宋体"/>
                <w:b/>
                <w:bCs w:val="0"/>
                <w:color w:val="000000" w:themeColor="text1"/>
                <w:sz w:val="21"/>
                <w:szCs w:val="21"/>
                <w:highlight w:val="none"/>
                <w14:textFill>
                  <w14:solidFill>
                    <w14:schemeClr w14:val="tx1"/>
                  </w14:solidFill>
                </w14:textFill>
              </w:rPr>
              <w:t>2</w:t>
            </w:r>
          </w:p>
          <w:p w14:paraId="5F9E80D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shd w:val="clear" w:color="auto" w:fill="auto"/>
            <w:noWrap w:val="0"/>
            <w:vAlign w:val="center"/>
          </w:tcPr>
          <w:p w14:paraId="125BDE19">
            <w:pPr>
              <w:spacing w:line="240" w:lineRule="auto"/>
              <w:jc w:val="both"/>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物</w:t>
            </w:r>
          </w:p>
          <w:p w14:paraId="2CE70B24">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理</w:t>
            </w:r>
          </w:p>
        </w:tc>
        <w:tc>
          <w:tcPr>
            <w:tcW w:w="250" w:type="pct"/>
            <w:shd w:val="clear" w:color="auto" w:fill="auto"/>
            <w:noWrap w:val="0"/>
            <w:vAlign w:val="center"/>
          </w:tcPr>
          <w:p w14:paraId="29BF9F5C">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9.7</w:t>
            </w:r>
          </w:p>
        </w:tc>
        <w:tc>
          <w:tcPr>
            <w:tcW w:w="293" w:type="pct"/>
            <w:shd w:val="clear" w:color="auto" w:fill="auto"/>
            <w:noWrap w:val="0"/>
            <w:vAlign w:val="center"/>
          </w:tcPr>
          <w:p w14:paraId="105CB1D4">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谭洪龙</w:t>
            </w:r>
          </w:p>
        </w:tc>
        <w:tc>
          <w:tcPr>
            <w:tcW w:w="259" w:type="pct"/>
            <w:shd w:val="clear" w:color="auto" w:fill="auto"/>
            <w:noWrap w:val="0"/>
            <w:vAlign w:val="center"/>
          </w:tcPr>
          <w:p w14:paraId="78D035F2">
            <w:pPr>
              <w:spacing w:line="240" w:lineRule="auto"/>
              <w:jc w:val="both"/>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数学</w:t>
            </w:r>
          </w:p>
        </w:tc>
        <w:tc>
          <w:tcPr>
            <w:tcW w:w="306" w:type="pct"/>
            <w:shd w:val="clear" w:color="auto" w:fill="auto"/>
            <w:noWrap w:val="0"/>
            <w:vAlign w:val="center"/>
          </w:tcPr>
          <w:p w14:paraId="1AB2B0A5">
            <w:pPr>
              <w:spacing w:line="240" w:lineRule="auto"/>
              <w:jc w:val="both"/>
              <w:rPr>
                <w:rFonts w:hint="default" w:cs="Times New Roman"/>
                <w:b/>
                <w:bCs w:val="0"/>
                <w:color w:val="000000" w:themeColor="text1"/>
                <w:kern w:val="2"/>
                <w:sz w:val="20"/>
                <w:szCs w:val="20"/>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7.5</w:t>
            </w:r>
          </w:p>
        </w:tc>
        <w:tc>
          <w:tcPr>
            <w:tcW w:w="306" w:type="pct"/>
            <w:shd w:val="clear" w:color="auto" w:fill="auto"/>
            <w:noWrap w:val="0"/>
            <w:vAlign w:val="center"/>
          </w:tcPr>
          <w:p w14:paraId="73582A95">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王美琪</w:t>
            </w:r>
          </w:p>
        </w:tc>
        <w:tc>
          <w:tcPr>
            <w:tcW w:w="241" w:type="pct"/>
            <w:shd w:val="clear" w:color="auto" w:fill="auto"/>
            <w:noWrap w:val="0"/>
            <w:vAlign w:val="center"/>
          </w:tcPr>
          <w:p w14:paraId="3017D7CF">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英语</w:t>
            </w:r>
          </w:p>
        </w:tc>
        <w:tc>
          <w:tcPr>
            <w:tcW w:w="340" w:type="pct"/>
            <w:shd w:val="clear" w:color="auto" w:fill="auto"/>
            <w:noWrap w:val="0"/>
            <w:vAlign w:val="center"/>
          </w:tcPr>
          <w:p w14:paraId="75F0B698">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8.3</w:t>
            </w:r>
          </w:p>
        </w:tc>
        <w:tc>
          <w:tcPr>
            <w:tcW w:w="263" w:type="pct"/>
            <w:shd w:val="clear" w:color="auto" w:fill="auto"/>
            <w:noWrap w:val="0"/>
            <w:vAlign w:val="center"/>
          </w:tcPr>
          <w:p w14:paraId="4FB9C780">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吴</w:t>
            </w:r>
          </w:p>
          <w:p w14:paraId="07DD8CC1">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琼</w:t>
            </w:r>
          </w:p>
        </w:tc>
        <w:tc>
          <w:tcPr>
            <w:tcW w:w="324" w:type="pct"/>
            <w:shd w:val="clear" w:color="auto" w:fill="auto"/>
            <w:noWrap w:val="0"/>
            <w:vAlign w:val="center"/>
          </w:tcPr>
          <w:p w14:paraId="108B5D63">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历史</w:t>
            </w:r>
          </w:p>
        </w:tc>
        <w:tc>
          <w:tcPr>
            <w:tcW w:w="346" w:type="pct"/>
            <w:shd w:val="clear" w:color="auto" w:fill="auto"/>
            <w:noWrap w:val="0"/>
            <w:vAlign w:val="center"/>
          </w:tcPr>
          <w:p w14:paraId="69A878AC">
            <w:pPr>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
                <w:bCs w:val="0"/>
                <w:color w:val="000000" w:themeColor="text1"/>
                <w:kern w:val="2"/>
                <w:sz w:val="21"/>
                <w:szCs w:val="21"/>
                <w:highlight w:val="none"/>
                <w:lang w:val="en-US" w:eastAsia="zh-CN" w:bidi="ar-SA"/>
                <w14:textFill>
                  <w14:solidFill>
                    <w14:schemeClr w14:val="tx1"/>
                  </w14:solidFill>
                </w14:textFill>
              </w:rPr>
              <w:t>8.1</w:t>
            </w:r>
          </w:p>
        </w:tc>
        <w:tc>
          <w:tcPr>
            <w:tcW w:w="343" w:type="pct"/>
            <w:shd w:val="clear" w:color="auto" w:fill="auto"/>
            <w:noWrap w:val="0"/>
            <w:vAlign w:val="center"/>
          </w:tcPr>
          <w:p w14:paraId="45F5969C">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王爽</w:t>
            </w:r>
          </w:p>
        </w:tc>
        <w:tc>
          <w:tcPr>
            <w:tcW w:w="389" w:type="pct"/>
            <w:shd w:val="clear" w:color="auto" w:fill="auto"/>
            <w:noWrap w:val="0"/>
            <w:vAlign w:val="center"/>
          </w:tcPr>
          <w:p w14:paraId="7C555B50">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政治</w:t>
            </w:r>
          </w:p>
        </w:tc>
        <w:tc>
          <w:tcPr>
            <w:tcW w:w="347" w:type="pct"/>
            <w:shd w:val="clear" w:color="auto" w:fill="auto"/>
            <w:noWrap w:val="0"/>
            <w:vAlign w:val="center"/>
          </w:tcPr>
          <w:p w14:paraId="7FA1463A">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7.3</w:t>
            </w:r>
          </w:p>
        </w:tc>
        <w:tc>
          <w:tcPr>
            <w:tcW w:w="452" w:type="pct"/>
            <w:shd w:val="clear" w:color="auto" w:fill="auto"/>
            <w:noWrap w:val="0"/>
            <w:vAlign w:val="center"/>
          </w:tcPr>
          <w:p w14:paraId="71C87A3B">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刘</w:t>
            </w:r>
          </w:p>
          <w:p w14:paraId="37CEA3B4">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宏</w:t>
            </w:r>
          </w:p>
          <w:p w14:paraId="7FCF5734">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玉</w:t>
            </w:r>
          </w:p>
        </w:tc>
      </w:tr>
      <w:tr w14:paraId="40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216" w:type="pct"/>
            <w:noWrap w:val="0"/>
            <w:vAlign w:val="center"/>
          </w:tcPr>
          <w:p w14:paraId="49C45A4B">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2B66D7DA">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3</w:t>
            </w:r>
          </w:p>
          <w:p w14:paraId="71FC80C7">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shd w:val="clear" w:color="auto" w:fill="auto"/>
            <w:noWrap w:val="0"/>
            <w:vAlign w:val="center"/>
          </w:tcPr>
          <w:p w14:paraId="2EF57D1A">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语文</w:t>
            </w:r>
          </w:p>
        </w:tc>
        <w:tc>
          <w:tcPr>
            <w:tcW w:w="250" w:type="pct"/>
            <w:shd w:val="clear" w:color="auto" w:fill="auto"/>
            <w:noWrap w:val="0"/>
            <w:vAlign w:val="center"/>
          </w:tcPr>
          <w:p w14:paraId="13CD826B">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7.8</w:t>
            </w:r>
          </w:p>
        </w:tc>
        <w:tc>
          <w:tcPr>
            <w:tcW w:w="293" w:type="pct"/>
            <w:shd w:val="clear" w:color="auto" w:fill="auto"/>
            <w:noWrap w:val="0"/>
            <w:vAlign w:val="center"/>
          </w:tcPr>
          <w:p w14:paraId="29FF0F0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高思淇</w:t>
            </w:r>
          </w:p>
        </w:tc>
        <w:tc>
          <w:tcPr>
            <w:tcW w:w="259" w:type="pct"/>
            <w:shd w:val="clear" w:color="auto" w:fill="auto"/>
            <w:noWrap w:val="0"/>
            <w:vAlign w:val="center"/>
          </w:tcPr>
          <w:p w14:paraId="0E616BEA">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06" w:type="pct"/>
            <w:shd w:val="clear" w:color="auto" w:fill="auto"/>
            <w:noWrap w:val="0"/>
            <w:vAlign w:val="center"/>
          </w:tcPr>
          <w:p w14:paraId="377AD4E4">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06" w:type="pct"/>
            <w:shd w:val="clear" w:color="auto" w:fill="auto"/>
            <w:noWrap w:val="0"/>
            <w:vAlign w:val="center"/>
          </w:tcPr>
          <w:p w14:paraId="56C920E1">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41" w:type="pct"/>
            <w:shd w:val="clear" w:color="auto" w:fill="auto"/>
            <w:noWrap w:val="0"/>
            <w:vAlign w:val="center"/>
          </w:tcPr>
          <w:p w14:paraId="11ECCCBF">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0" w:type="pct"/>
            <w:shd w:val="clear" w:color="auto" w:fill="auto"/>
            <w:noWrap w:val="0"/>
            <w:vAlign w:val="center"/>
          </w:tcPr>
          <w:p w14:paraId="55D3AEC4">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63" w:type="pct"/>
            <w:shd w:val="clear" w:color="auto" w:fill="auto"/>
            <w:noWrap w:val="0"/>
            <w:vAlign w:val="center"/>
          </w:tcPr>
          <w:p w14:paraId="7DB53DDF">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324" w:type="pct"/>
            <w:shd w:val="clear" w:color="auto" w:fill="auto"/>
            <w:noWrap w:val="0"/>
            <w:vAlign w:val="center"/>
          </w:tcPr>
          <w:p w14:paraId="38240EAC">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46" w:type="pct"/>
            <w:shd w:val="clear" w:color="auto" w:fill="auto"/>
            <w:noWrap w:val="0"/>
            <w:vAlign w:val="center"/>
          </w:tcPr>
          <w:p w14:paraId="2EB1839B">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43" w:type="pct"/>
            <w:shd w:val="clear" w:color="auto" w:fill="auto"/>
            <w:noWrap w:val="0"/>
            <w:vAlign w:val="center"/>
          </w:tcPr>
          <w:p w14:paraId="7C984D0A">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89" w:type="pct"/>
            <w:shd w:val="clear" w:color="auto" w:fill="auto"/>
            <w:noWrap w:val="0"/>
            <w:vAlign w:val="center"/>
          </w:tcPr>
          <w:p w14:paraId="5204B926">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7" w:type="pct"/>
            <w:shd w:val="clear" w:color="auto" w:fill="auto"/>
            <w:noWrap w:val="0"/>
            <w:vAlign w:val="center"/>
          </w:tcPr>
          <w:p w14:paraId="0E07A1E8">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452" w:type="pct"/>
            <w:shd w:val="clear" w:color="auto" w:fill="auto"/>
            <w:noWrap w:val="0"/>
            <w:vAlign w:val="center"/>
          </w:tcPr>
          <w:p w14:paraId="5B6F133A">
            <w:pPr>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r>
      <w:tr w14:paraId="2AD9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16" w:type="pct"/>
            <w:noWrap w:val="0"/>
            <w:vAlign w:val="center"/>
          </w:tcPr>
          <w:p w14:paraId="23E66DE3">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4630485F">
            <w:pPr>
              <w:spacing w:line="280" w:lineRule="exact"/>
              <w:jc w:val="center"/>
              <w:rPr>
                <w:rFonts w:ascii="宋体" w:hAnsi="宋体" w:cs="宋体"/>
                <w:b/>
                <w:bCs w:val="0"/>
                <w:color w:val="000000" w:themeColor="text1"/>
                <w:sz w:val="21"/>
                <w:szCs w:val="21"/>
                <w:highlight w:val="none"/>
                <w14:textFill>
                  <w14:solidFill>
                    <w14:schemeClr w14:val="tx1"/>
                  </w14:solidFill>
                </w14:textFill>
              </w:rPr>
            </w:pPr>
            <w:r>
              <w:rPr>
                <w:rFonts w:ascii="宋体" w:hAnsi="宋体" w:cs="宋体"/>
                <w:b/>
                <w:bCs w:val="0"/>
                <w:color w:val="000000" w:themeColor="text1"/>
                <w:sz w:val="21"/>
                <w:szCs w:val="21"/>
                <w:highlight w:val="none"/>
                <w14:textFill>
                  <w14:solidFill>
                    <w14:schemeClr w14:val="tx1"/>
                  </w14:solidFill>
                </w14:textFill>
              </w:rPr>
              <w:t>4</w:t>
            </w:r>
          </w:p>
          <w:p w14:paraId="45A2B474">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shd w:val="clear" w:color="auto" w:fill="auto"/>
            <w:noWrap w:val="0"/>
            <w:vAlign w:val="center"/>
          </w:tcPr>
          <w:p w14:paraId="50F70FC4">
            <w:pPr>
              <w:spacing w:line="240" w:lineRule="auto"/>
              <w:jc w:val="both"/>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50" w:type="pct"/>
            <w:shd w:val="clear" w:color="auto" w:fill="auto"/>
            <w:noWrap w:val="0"/>
            <w:vAlign w:val="center"/>
          </w:tcPr>
          <w:p w14:paraId="1E4EC1B6">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93" w:type="pct"/>
            <w:shd w:val="clear" w:color="auto" w:fill="auto"/>
            <w:noWrap w:val="0"/>
            <w:vAlign w:val="center"/>
          </w:tcPr>
          <w:p w14:paraId="1584F761">
            <w:pPr>
              <w:spacing w:line="240" w:lineRule="auto"/>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59" w:type="pct"/>
            <w:shd w:val="clear" w:color="auto" w:fill="auto"/>
            <w:noWrap w:val="0"/>
            <w:vAlign w:val="center"/>
          </w:tcPr>
          <w:p w14:paraId="25A1190D">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06" w:type="pct"/>
            <w:shd w:val="clear" w:color="auto" w:fill="auto"/>
            <w:noWrap w:val="0"/>
            <w:vAlign w:val="center"/>
          </w:tcPr>
          <w:p w14:paraId="325FC57A">
            <w:pPr>
              <w:jc w:val="center"/>
              <w:rPr>
                <w:rFonts w:hint="eastAsia"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306" w:type="pct"/>
            <w:shd w:val="clear" w:color="auto" w:fill="auto"/>
            <w:noWrap w:val="0"/>
            <w:vAlign w:val="center"/>
          </w:tcPr>
          <w:p w14:paraId="6448B8F8">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846" w:type="pct"/>
            <w:gridSpan w:val="3"/>
            <w:noWrap w:val="0"/>
            <w:vAlign w:val="center"/>
          </w:tcPr>
          <w:p w14:paraId="3D156AB4">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324" w:type="pct"/>
            <w:shd w:val="clear" w:color="auto" w:fill="auto"/>
            <w:noWrap w:val="0"/>
            <w:vAlign w:val="center"/>
          </w:tcPr>
          <w:p w14:paraId="6FFFB932">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6" w:type="pct"/>
            <w:shd w:val="clear" w:color="auto" w:fill="auto"/>
            <w:noWrap w:val="0"/>
            <w:vAlign w:val="center"/>
          </w:tcPr>
          <w:p w14:paraId="3DEA5714">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3" w:type="pct"/>
            <w:shd w:val="clear" w:color="auto" w:fill="auto"/>
            <w:noWrap w:val="0"/>
            <w:vAlign w:val="center"/>
          </w:tcPr>
          <w:p w14:paraId="4EE3CE3A">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389" w:type="pct"/>
            <w:shd w:val="clear" w:color="auto" w:fill="auto"/>
            <w:noWrap w:val="0"/>
            <w:vAlign w:val="center"/>
          </w:tcPr>
          <w:p w14:paraId="0202B26C">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7" w:type="pct"/>
            <w:shd w:val="clear" w:color="auto" w:fill="auto"/>
            <w:noWrap w:val="0"/>
            <w:vAlign w:val="center"/>
          </w:tcPr>
          <w:p w14:paraId="7D103398">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452" w:type="pct"/>
            <w:shd w:val="clear" w:color="auto" w:fill="auto"/>
            <w:noWrap w:val="0"/>
            <w:vAlign w:val="center"/>
          </w:tcPr>
          <w:p w14:paraId="0BE57E07">
            <w:pPr>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r>
      <w:tr w14:paraId="19C0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16" w:type="pct"/>
            <w:noWrap w:val="0"/>
            <w:vAlign w:val="center"/>
          </w:tcPr>
          <w:p w14:paraId="1CD187C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53B4C06A">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5</w:t>
            </w:r>
          </w:p>
          <w:p w14:paraId="64B40063">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noWrap w:val="0"/>
            <w:vAlign w:val="center"/>
          </w:tcPr>
          <w:p w14:paraId="6FA1676D">
            <w:pPr>
              <w:jc w:val="center"/>
              <w:rPr>
                <w:rFonts w:hint="eastAsia" w:eastAsia="宋体"/>
                <w:b/>
                <w:bCs w:val="0"/>
                <w:color w:val="000000" w:themeColor="text1"/>
                <w:sz w:val="24"/>
                <w:szCs w:val="24"/>
                <w:highlight w:val="none"/>
                <w:lang w:eastAsia="zh-CN"/>
                <w14:textFill>
                  <w14:solidFill>
                    <w14:schemeClr w14:val="tx1"/>
                  </w14:solidFill>
                </w14:textFill>
              </w:rPr>
            </w:pPr>
          </w:p>
        </w:tc>
        <w:tc>
          <w:tcPr>
            <w:tcW w:w="250" w:type="pct"/>
            <w:noWrap w:val="0"/>
            <w:vAlign w:val="center"/>
          </w:tcPr>
          <w:p w14:paraId="235203D5">
            <w:pPr>
              <w:jc w:val="center"/>
              <w:rPr>
                <w:rFonts w:hint="default" w:eastAsia="宋体"/>
                <w:b/>
                <w:bCs w:val="0"/>
                <w:color w:val="000000" w:themeColor="text1"/>
                <w:sz w:val="24"/>
                <w:szCs w:val="24"/>
                <w:highlight w:val="none"/>
                <w:lang w:val="en-US" w:eastAsia="zh-CN"/>
                <w14:textFill>
                  <w14:solidFill>
                    <w14:schemeClr w14:val="tx1"/>
                  </w14:solidFill>
                </w14:textFill>
              </w:rPr>
            </w:pPr>
          </w:p>
        </w:tc>
        <w:tc>
          <w:tcPr>
            <w:tcW w:w="293" w:type="pct"/>
            <w:noWrap w:val="0"/>
            <w:vAlign w:val="center"/>
          </w:tcPr>
          <w:p w14:paraId="26603A68">
            <w:pPr>
              <w:jc w:val="center"/>
              <w:rPr>
                <w:rFonts w:hint="eastAsia" w:eastAsia="宋体"/>
                <w:b/>
                <w:bCs w:val="0"/>
                <w:color w:val="000000" w:themeColor="text1"/>
                <w:sz w:val="24"/>
                <w:szCs w:val="24"/>
                <w:highlight w:val="none"/>
                <w:lang w:val="en-US" w:eastAsia="zh-CN"/>
                <w14:textFill>
                  <w14:solidFill>
                    <w14:schemeClr w14:val="tx1"/>
                  </w14:solidFill>
                </w14:textFill>
              </w:rPr>
            </w:pPr>
          </w:p>
        </w:tc>
        <w:tc>
          <w:tcPr>
            <w:tcW w:w="259" w:type="pct"/>
            <w:noWrap w:val="0"/>
            <w:vAlign w:val="center"/>
          </w:tcPr>
          <w:p w14:paraId="77E048A1">
            <w:pPr>
              <w:jc w:val="center"/>
              <w:rPr>
                <w:rFonts w:hint="eastAsia"/>
                <w:b/>
                <w:bCs w:val="0"/>
                <w:color w:val="000000" w:themeColor="text1"/>
                <w:sz w:val="18"/>
                <w:szCs w:val="18"/>
                <w:highlight w:val="none"/>
                <w14:textFill>
                  <w14:solidFill>
                    <w14:schemeClr w14:val="tx1"/>
                  </w14:solidFill>
                </w14:textFill>
              </w:rPr>
            </w:pPr>
          </w:p>
        </w:tc>
        <w:tc>
          <w:tcPr>
            <w:tcW w:w="306" w:type="pct"/>
            <w:noWrap w:val="0"/>
            <w:vAlign w:val="center"/>
          </w:tcPr>
          <w:p w14:paraId="18190114">
            <w:pPr>
              <w:jc w:val="center"/>
              <w:rPr>
                <w:rFonts w:hint="eastAsia"/>
                <w:b/>
                <w:bCs w:val="0"/>
                <w:color w:val="000000" w:themeColor="text1"/>
                <w:sz w:val="18"/>
                <w:szCs w:val="18"/>
                <w:highlight w:val="none"/>
                <w14:textFill>
                  <w14:solidFill>
                    <w14:schemeClr w14:val="tx1"/>
                  </w14:solidFill>
                </w14:textFill>
              </w:rPr>
            </w:pPr>
          </w:p>
        </w:tc>
        <w:tc>
          <w:tcPr>
            <w:tcW w:w="306" w:type="pct"/>
            <w:noWrap w:val="0"/>
            <w:vAlign w:val="center"/>
          </w:tcPr>
          <w:p w14:paraId="3E11AB07">
            <w:pPr>
              <w:jc w:val="center"/>
              <w:rPr>
                <w:rFonts w:hint="eastAsia"/>
                <w:b/>
                <w:bCs w:val="0"/>
                <w:color w:val="000000" w:themeColor="text1"/>
                <w:sz w:val="18"/>
                <w:szCs w:val="18"/>
                <w:highlight w:val="none"/>
                <w14:textFill>
                  <w14:solidFill>
                    <w14:schemeClr w14:val="tx1"/>
                  </w14:solidFill>
                </w14:textFill>
              </w:rPr>
            </w:pPr>
          </w:p>
        </w:tc>
        <w:tc>
          <w:tcPr>
            <w:tcW w:w="241" w:type="pct"/>
            <w:shd w:val="clear" w:color="auto" w:fill="auto"/>
            <w:noWrap w:val="0"/>
            <w:vAlign w:val="center"/>
          </w:tcPr>
          <w:p w14:paraId="542D805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0" w:type="pct"/>
            <w:shd w:val="clear" w:color="auto" w:fill="auto"/>
            <w:noWrap w:val="0"/>
            <w:vAlign w:val="center"/>
          </w:tcPr>
          <w:p w14:paraId="1BF521AD">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63" w:type="pct"/>
            <w:shd w:val="clear" w:color="auto" w:fill="auto"/>
            <w:noWrap w:val="0"/>
            <w:vAlign w:val="center"/>
          </w:tcPr>
          <w:p w14:paraId="3536FEB7">
            <w:pPr>
              <w:jc w:val="center"/>
              <w:rPr>
                <w:rFonts w:hint="eastAsia"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324" w:type="pct"/>
            <w:noWrap w:val="0"/>
            <w:vAlign w:val="center"/>
          </w:tcPr>
          <w:p w14:paraId="684F1C35">
            <w:pPr>
              <w:rPr>
                <w:rFonts w:hint="eastAsia"/>
                <w:b/>
                <w:bCs w:val="0"/>
                <w:color w:val="000000" w:themeColor="text1"/>
                <w:sz w:val="24"/>
                <w:szCs w:val="24"/>
                <w:highlight w:val="none"/>
                <w14:textFill>
                  <w14:solidFill>
                    <w14:schemeClr w14:val="tx1"/>
                  </w14:solidFill>
                </w14:textFill>
              </w:rPr>
            </w:pPr>
          </w:p>
        </w:tc>
        <w:tc>
          <w:tcPr>
            <w:tcW w:w="346" w:type="pct"/>
            <w:noWrap w:val="0"/>
            <w:vAlign w:val="center"/>
          </w:tcPr>
          <w:p w14:paraId="4DBA8665">
            <w:pPr>
              <w:jc w:val="center"/>
              <w:rPr>
                <w:b/>
                <w:bCs w:val="0"/>
                <w:color w:val="000000" w:themeColor="text1"/>
                <w:sz w:val="24"/>
                <w:szCs w:val="24"/>
                <w:highlight w:val="none"/>
                <w14:textFill>
                  <w14:solidFill>
                    <w14:schemeClr w14:val="tx1"/>
                  </w14:solidFill>
                </w14:textFill>
              </w:rPr>
            </w:pPr>
          </w:p>
        </w:tc>
        <w:tc>
          <w:tcPr>
            <w:tcW w:w="343" w:type="pct"/>
            <w:noWrap w:val="0"/>
            <w:vAlign w:val="center"/>
          </w:tcPr>
          <w:p w14:paraId="0FC9798A">
            <w:pPr>
              <w:jc w:val="center"/>
              <w:rPr>
                <w:b/>
                <w:bCs w:val="0"/>
                <w:color w:val="000000" w:themeColor="text1"/>
                <w:sz w:val="24"/>
                <w:szCs w:val="24"/>
                <w:highlight w:val="none"/>
                <w14:textFill>
                  <w14:solidFill>
                    <w14:schemeClr w14:val="tx1"/>
                  </w14:solidFill>
                </w14:textFill>
              </w:rPr>
            </w:pPr>
          </w:p>
        </w:tc>
        <w:tc>
          <w:tcPr>
            <w:tcW w:w="389" w:type="pct"/>
            <w:noWrap w:val="0"/>
            <w:vAlign w:val="center"/>
          </w:tcPr>
          <w:p w14:paraId="68286F0D">
            <w:pPr>
              <w:jc w:val="center"/>
              <w:rPr>
                <w:b/>
                <w:bCs w:val="0"/>
                <w:color w:val="000000" w:themeColor="text1"/>
                <w:sz w:val="24"/>
                <w:szCs w:val="24"/>
                <w:highlight w:val="none"/>
                <w14:textFill>
                  <w14:solidFill>
                    <w14:schemeClr w14:val="tx1"/>
                  </w14:solidFill>
                </w14:textFill>
              </w:rPr>
            </w:pPr>
          </w:p>
        </w:tc>
        <w:tc>
          <w:tcPr>
            <w:tcW w:w="347" w:type="pct"/>
            <w:noWrap w:val="0"/>
            <w:vAlign w:val="center"/>
          </w:tcPr>
          <w:p w14:paraId="7571483C">
            <w:pPr>
              <w:spacing w:line="24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452" w:type="pct"/>
            <w:noWrap w:val="0"/>
            <w:vAlign w:val="top"/>
          </w:tcPr>
          <w:p w14:paraId="3A3F2B73">
            <w:pPr>
              <w:jc w:val="center"/>
              <w:rPr>
                <w:b/>
                <w:bCs w:val="0"/>
                <w:color w:val="000000" w:themeColor="text1"/>
                <w:sz w:val="24"/>
                <w:szCs w:val="24"/>
                <w:highlight w:val="none"/>
                <w14:textFill>
                  <w14:solidFill>
                    <w14:schemeClr w14:val="tx1"/>
                  </w14:solidFill>
                </w14:textFill>
              </w:rPr>
            </w:pPr>
          </w:p>
        </w:tc>
      </w:tr>
      <w:tr w14:paraId="0450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216" w:type="pct"/>
            <w:noWrap w:val="0"/>
            <w:vAlign w:val="center"/>
          </w:tcPr>
          <w:p w14:paraId="0AB9A4E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1324D93E">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6</w:t>
            </w:r>
            <w:r>
              <w:rPr>
                <w:rFonts w:ascii="宋体" w:hAnsi="宋体" w:cs="宋体"/>
                <w:b/>
                <w:bCs w:val="0"/>
                <w:color w:val="000000" w:themeColor="text1"/>
                <w:sz w:val="21"/>
                <w:szCs w:val="21"/>
                <w:highlight w:val="none"/>
                <w14:textFill>
                  <w14:solidFill>
                    <w14:schemeClr w14:val="tx1"/>
                  </w14:solidFill>
                </w14:textFill>
              </w:rPr>
              <w:t>节</w:t>
            </w:r>
          </w:p>
        </w:tc>
        <w:tc>
          <w:tcPr>
            <w:tcW w:w="316" w:type="pct"/>
            <w:noWrap w:val="0"/>
            <w:vAlign w:val="center"/>
          </w:tcPr>
          <w:p w14:paraId="2F079A2A">
            <w:pPr>
              <w:jc w:val="center"/>
              <w:rPr>
                <w:rFonts w:hint="eastAsia"/>
                <w:b/>
                <w:bCs w:val="0"/>
                <w:color w:val="000000" w:themeColor="text1"/>
                <w:sz w:val="24"/>
                <w:szCs w:val="24"/>
                <w:highlight w:val="none"/>
                <w14:textFill>
                  <w14:solidFill>
                    <w14:schemeClr w14:val="tx1"/>
                  </w14:solidFill>
                </w14:textFill>
              </w:rPr>
            </w:pPr>
          </w:p>
        </w:tc>
        <w:tc>
          <w:tcPr>
            <w:tcW w:w="250" w:type="pct"/>
            <w:noWrap w:val="0"/>
            <w:vAlign w:val="center"/>
          </w:tcPr>
          <w:p w14:paraId="140665EF">
            <w:pPr>
              <w:jc w:val="center"/>
              <w:rPr>
                <w:b/>
                <w:bCs w:val="0"/>
                <w:color w:val="000000" w:themeColor="text1"/>
                <w:sz w:val="24"/>
                <w:szCs w:val="24"/>
                <w:highlight w:val="none"/>
                <w14:textFill>
                  <w14:solidFill>
                    <w14:schemeClr w14:val="tx1"/>
                  </w14:solidFill>
                </w14:textFill>
              </w:rPr>
            </w:pPr>
          </w:p>
        </w:tc>
        <w:tc>
          <w:tcPr>
            <w:tcW w:w="293" w:type="pct"/>
            <w:noWrap w:val="0"/>
            <w:vAlign w:val="center"/>
          </w:tcPr>
          <w:p w14:paraId="58A076F0">
            <w:pPr>
              <w:jc w:val="center"/>
              <w:rPr>
                <w:b/>
                <w:bCs w:val="0"/>
                <w:color w:val="000000" w:themeColor="text1"/>
                <w:sz w:val="24"/>
                <w:szCs w:val="24"/>
                <w:highlight w:val="none"/>
                <w14:textFill>
                  <w14:solidFill>
                    <w14:schemeClr w14:val="tx1"/>
                  </w14:solidFill>
                </w14:textFill>
              </w:rPr>
            </w:pPr>
          </w:p>
        </w:tc>
        <w:tc>
          <w:tcPr>
            <w:tcW w:w="259" w:type="pct"/>
            <w:noWrap w:val="0"/>
            <w:vAlign w:val="center"/>
          </w:tcPr>
          <w:p w14:paraId="280CA566">
            <w:pPr>
              <w:jc w:val="center"/>
              <w:rPr>
                <w:rFonts w:hint="eastAsia"/>
                <w:b/>
                <w:bCs w:val="0"/>
                <w:color w:val="000000" w:themeColor="text1"/>
                <w:sz w:val="24"/>
                <w:szCs w:val="24"/>
                <w:highlight w:val="none"/>
                <w14:textFill>
                  <w14:solidFill>
                    <w14:schemeClr w14:val="tx1"/>
                  </w14:solidFill>
                </w14:textFill>
              </w:rPr>
            </w:pPr>
          </w:p>
        </w:tc>
        <w:tc>
          <w:tcPr>
            <w:tcW w:w="306" w:type="pct"/>
            <w:noWrap w:val="0"/>
            <w:vAlign w:val="center"/>
          </w:tcPr>
          <w:p w14:paraId="5FF124E9">
            <w:pPr>
              <w:jc w:val="center"/>
              <w:rPr>
                <w:rFonts w:hint="eastAsia"/>
                <w:b/>
                <w:bCs w:val="0"/>
                <w:color w:val="000000" w:themeColor="text1"/>
                <w:sz w:val="24"/>
                <w:szCs w:val="24"/>
                <w:highlight w:val="none"/>
                <w14:textFill>
                  <w14:solidFill>
                    <w14:schemeClr w14:val="tx1"/>
                  </w14:solidFill>
                </w14:textFill>
              </w:rPr>
            </w:pPr>
          </w:p>
        </w:tc>
        <w:tc>
          <w:tcPr>
            <w:tcW w:w="306" w:type="pct"/>
            <w:noWrap w:val="0"/>
            <w:vAlign w:val="center"/>
          </w:tcPr>
          <w:p w14:paraId="6652B7AD">
            <w:pPr>
              <w:jc w:val="center"/>
              <w:rPr>
                <w:rFonts w:hint="eastAsia"/>
                <w:b/>
                <w:bCs w:val="0"/>
                <w:color w:val="000000" w:themeColor="text1"/>
                <w:sz w:val="24"/>
                <w:szCs w:val="24"/>
                <w:highlight w:val="none"/>
                <w14:textFill>
                  <w14:solidFill>
                    <w14:schemeClr w14:val="tx1"/>
                  </w14:solidFill>
                </w14:textFill>
              </w:rPr>
            </w:pPr>
          </w:p>
        </w:tc>
        <w:tc>
          <w:tcPr>
            <w:tcW w:w="241" w:type="pct"/>
            <w:noWrap w:val="0"/>
            <w:vAlign w:val="center"/>
          </w:tcPr>
          <w:p w14:paraId="522C73A6">
            <w:pPr>
              <w:jc w:val="center"/>
              <w:rPr>
                <w:b/>
                <w:bCs w:val="0"/>
                <w:color w:val="000000" w:themeColor="text1"/>
                <w:sz w:val="24"/>
                <w:szCs w:val="24"/>
                <w:highlight w:val="none"/>
                <w14:textFill>
                  <w14:solidFill>
                    <w14:schemeClr w14:val="tx1"/>
                  </w14:solidFill>
                </w14:textFill>
              </w:rPr>
            </w:pPr>
          </w:p>
        </w:tc>
        <w:tc>
          <w:tcPr>
            <w:tcW w:w="340" w:type="pct"/>
            <w:noWrap w:val="0"/>
            <w:vAlign w:val="center"/>
          </w:tcPr>
          <w:p w14:paraId="0D78BA52">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263" w:type="pct"/>
            <w:noWrap w:val="0"/>
            <w:vAlign w:val="center"/>
          </w:tcPr>
          <w:p w14:paraId="5D6F9B5B">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324" w:type="pct"/>
            <w:noWrap w:val="0"/>
            <w:vAlign w:val="center"/>
          </w:tcPr>
          <w:p w14:paraId="3B457B70">
            <w:pPr>
              <w:rPr>
                <w:rFonts w:hint="eastAsia"/>
                <w:b/>
                <w:bCs w:val="0"/>
                <w:color w:val="000000" w:themeColor="text1"/>
                <w:sz w:val="24"/>
                <w:szCs w:val="24"/>
                <w:highlight w:val="none"/>
                <w14:textFill>
                  <w14:solidFill>
                    <w14:schemeClr w14:val="tx1"/>
                  </w14:solidFill>
                </w14:textFill>
              </w:rPr>
            </w:pPr>
          </w:p>
        </w:tc>
        <w:tc>
          <w:tcPr>
            <w:tcW w:w="346" w:type="pct"/>
            <w:noWrap w:val="0"/>
            <w:vAlign w:val="center"/>
          </w:tcPr>
          <w:p w14:paraId="5286ED91">
            <w:pPr>
              <w:jc w:val="center"/>
              <w:rPr>
                <w:b/>
                <w:bCs w:val="0"/>
                <w:color w:val="000000" w:themeColor="text1"/>
                <w:sz w:val="24"/>
                <w:szCs w:val="24"/>
                <w:highlight w:val="none"/>
                <w14:textFill>
                  <w14:solidFill>
                    <w14:schemeClr w14:val="tx1"/>
                  </w14:solidFill>
                </w14:textFill>
              </w:rPr>
            </w:pPr>
          </w:p>
        </w:tc>
        <w:tc>
          <w:tcPr>
            <w:tcW w:w="343" w:type="pct"/>
            <w:noWrap w:val="0"/>
            <w:vAlign w:val="center"/>
          </w:tcPr>
          <w:p w14:paraId="1F91686C">
            <w:pPr>
              <w:jc w:val="center"/>
              <w:rPr>
                <w:b/>
                <w:bCs w:val="0"/>
                <w:color w:val="000000" w:themeColor="text1"/>
                <w:sz w:val="24"/>
                <w:szCs w:val="24"/>
                <w:highlight w:val="none"/>
                <w14:textFill>
                  <w14:solidFill>
                    <w14:schemeClr w14:val="tx1"/>
                  </w14:solidFill>
                </w14:textFill>
              </w:rPr>
            </w:pPr>
          </w:p>
        </w:tc>
        <w:tc>
          <w:tcPr>
            <w:tcW w:w="1189" w:type="pct"/>
            <w:gridSpan w:val="3"/>
            <w:noWrap w:val="0"/>
            <w:vAlign w:val="center"/>
          </w:tcPr>
          <w:p w14:paraId="247648D6">
            <w:pPr>
              <w:jc w:val="center"/>
              <w:rPr>
                <w:b/>
                <w:bCs w:val="0"/>
                <w:color w:val="000000" w:themeColor="text1"/>
                <w:sz w:val="24"/>
                <w:szCs w:val="24"/>
                <w:highlight w:val="none"/>
                <w14:textFill>
                  <w14:solidFill>
                    <w14:schemeClr w14:val="tx1"/>
                  </w14:solidFill>
                </w14:textFill>
              </w:rPr>
            </w:pPr>
          </w:p>
        </w:tc>
      </w:tr>
      <w:tr w14:paraId="2A48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216" w:type="pct"/>
            <w:noWrap w:val="0"/>
            <w:vAlign w:val="center"/>
          </w:tcPr>
          <w:p w14:paraId="74D0BBB1">
            <w:pPr>
              <w:spacing w:line="280" w:lineRule="exact"/>
              <w:jc w:val="center"/>
              <w:rPr>
                <w:rFonts w:hint="eastAsia" w:ascii="宋体" w:hAnsi="宋体" w:eastAsia="宋体" w:cs="宋体"/>
                <w:b/>
                <w:bCs w:val="0"/>
                <w:color w:val="auto"/>
                <w:sz w:val="21"/>
                <w:szCs w:val="21"/>
                <w:highlight w:val="none"/>
                <w:lang w:eastAsia="zh-CN"/>
              </w:rPr>
            </w:pPr>
            <w:r>
              <w:rPr>
                <w:rFonts w:hint="eastAsia" w:ascii="宋体" w:hAnsi="宋体" w:cs="宋体"/>
                <w:b/>
                <w:bCs w:val="0"/>
                <w:color w:val="auto"/>
                <w:sz w:val="16"/>
                <w:szCs w:val="16"/>
                <w:highlight w:val="none"/>
                <w:lang w:val="en-US" w:eastAsia="zh-CN"/>
              </w:rPr>
              <w:t>例会</w:t>
            </w:r>
          </w:p>
        </w:tc>
        <w:tc>
          <w:tcPr>
            <w:tcW w:w="860" w:type="pct"/>
            <w:gridSpan w:val="3"/>
            <w:noWrap w:val="0"/>
            <w:vAlign w:val="center"/>
          </w:tcPr>
          <w:p w14:paraId="51C8A225">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艺体人工智能</w:t>
            </w:r>
            <w:r>
              <w:rPr>
                <w:rFonts w:hint="eastAsia" w:ascii="宋体" w:hAnsi="宋体"/>
                <w:b/>
                <w:bCs w:val="0"/>
                <w:color w:val="auto"/>
                <w:sz w:val="21"/>
                <w:szCs w:val="21"/>
                <w:highlight w:val="none"/>
                <w:lang w:val="en-US" w:eastAsia="zh-CN"/>
              </w:rPr>
              <w:t>集体备课</w:t>
            </w:r>
          </w:p>
        </w:tc>
        <w:tc>
          <w:tcPr>
            <w:tcW w:w="872" w:type="pct"/>
            <w:gridSpan w:val="3"/>
            <w:noWrap w:val="0"/>
            <w:vAlign w:val="center"/>
          </w:tcPr>
          <w:p w14:paraId="0A44AEB7">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846" w:type="pct"/>
            <w:gridSpan w:val="3"/>
            <w:noWrap w:val="0"/>
            <w:vAlign w:val="center"/>
          </w:tcPr>
          <w:p w14:paraId="1CD8F9AB">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1013" w:type="pct"/>
            <w:gridSpan w:val="3"/>
            <w:noWrap w:val="0"/>
            <w:vAlign w:val="center"/>
          </w:tcPr>
          <w:p w14:paraId="1300B379">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189" w:type="pct"/>
            <w:gridSpan w:val="3"/>
            <w:noWrap w:val="0"/>
            <w:vAlign w:val="center"/>
          </w:tcPr>
          <w:p w14:paraId="6529E03E">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EAB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5000" w:type="pct"/>
            <w:gridSpan w:val="16"/>
            <w:noWrap w:val="0"/>
            <w:vAlign w:val="center"/>
          </w:tcPr>
          <w:p w14:paraId="6F0715D4">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552A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3" w:hRule="atLeast"/>
        </w:trPr>
        <w:tc>
          <w:tcPr>
            <w:tcW w:w="5000" w:type="pct"/>
            <w:gridSpan w:val="16"/>
            <w:noWrap w:val="0"/>
            <w:vAlign w:val="top"/>
          </w:tcPr>
          <w:p w14:paraId="23DCBFD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02" w:firstLineChars="300"/>
              <w:jc w:val="both"/>
              <w:textAlignment w:val="auto"/>
              <w:rPr>
                <w:rFonts w:hint="eastAsia" w:ascii="黑体" w:hAnsi="黑体" w:eastAsia="黑体" w:cs="黑体"/>
                <w:b/>
                <w:bCs w:val="0"/>
                <w:color w:val="auto"/>
                <w:sz w:val="20"/>
                <w:szCs w:val="20"/>
                <w:highlight w:val="none"/>
                <w:lang w:val="en-US" w:eastAsia="zh-CN"/>
              </w:rPr>
            </w:pPr>
            <w:r>
              <w:rPr>
                <w:rFonts w:hint="eastAsia" w:ascii="黑体" w:hAnsi="黑体" w:eastAsia="黑体" w:cs="黑体"/>
                <w:b/>
                <w:bCs w:val="0"/>
                <w:color w:val="auto"/>
                <w:sz w:val="20"/>
                <w:szCs w:val="20"/>
                <w:highlight w:val="none"/>
                <w:lang w:val="en-US" w:eastAsia="zh-CN"/>
              </w:rPr>
              <w:t>一、本</w:t>
            </w:r>
            <w:r>
              <w:rPr>
                <w:rFonts w:hint="default" w:ascii="黑体" w:hAnsi="黑体" w:eastAsia="黑体" w:cs="黑体"/>
                <w:b/>
                <w:bCs w:val="0"/>
                <w:color w:val="auto"/>
                <w:sz w:val="20"/>
                <w:szCs w:val="20"/>
                <w:highlight w:val="none"/>
                <w:lang w:val="en-US" w:eastAsia="zh-CN"/>
              </w:rPr>
              <w:t>周是新</w:t>
            </w:r>
            <w:r>
              <w:rPr>
                <w:rFonts w:hint="eastAsia" w:ascii="黑体" w:hAnsi="黑体" w:eastAsia="黑体" w:cs="黑体"/>
                <w:b/>
                <w:bCs w:val="0"/>
                <w:color w:val="auto"/>
                <w:sz w:val="20"/>
                <w:szCs w:val="20"/>
                <w:highlight w:val="none"/>
                <w:lang w:val="en-US" w:eastAsia="zh-CN"/>
              </w:rPr>
              <w:t>学</w:t>
            </w:r>
            <w:r>
              <w:rPr>
                <w:rFonts w:hint="default" w:ascii="黑体" w:hAnsi="黑体" w:eastAsia="黑体" w:cs="黑体"/>
                <w:b/>
                <w:bCs w:val="0"/>
                <w:color w:val="auto"/>
                <w:sz w:val="20"/>
                <w:szCs w:val="20"/>
                <w:highlight w:val="none"/>
                <w:lang w:val="en-US" w:eastAsia="zh-CN"/>
              </w:rPr>
              <w:t>期开</w:t>
            </w:r>
            <w:r>
              <w:rPr>
                <w:rFonts w:hint="eastAsia" w:ascii="黑体" w:hAnsi="黑体" w:eastAsia="黑体" w:cs="黑体"/>
                <w:b/>
                <w:bCs w:val="0"/>
                <w:color w:val="auto"/>
                <w:sz w:val="20"/>
                <w:szCs w:val="20"/>
                <w:highlight w:val="none"/>
                <w:lang w:val="en-US" w:eastAsia="zh-CN"/>
              </w:rPr>
              <w:t>学</w:t>
            </w:r>
            <w:r>
              <w:rPr>
                <w:rFonts w:hint="default" w:ascii="黑体" w:hAnsi="黑体" w:eastAsia="黑体" w:cs="黑体"/>
                <w:b/>
                <w:bCs w:val="0"/>
                <w:color w:val="auto"/>
                <w:sz w:val="20"/>
                <w:szCs w:val="20"/>
                <w:highlight w:val="none"/>
                <w:lang w:val="en-US" w:eastAsia="zh-CN"/>
              </w:rPr>
              <w:t>第</w:t>
            </w:r>
            <w:r>
              <w:rPr>
                <w:rFonts w:hint="eastAsia" w:ascii="黑体" w:hAnsi="黑体" w:eastAsia="黑体" w:cs="黑体"/>
                <w:b/>
                <w:bCs w:val="0"/>
                <w:color w:val="auto"/>
                <w:sz w:val="20"/>
                <w:szCs w:val="20"/>
                <w:highlight w:val="none"/>
                <w:lang w:val="en-US" w:eastAsia="zh-CN"/>
              </w:rPr>
              <w:t>15</w:t>
            </w:r>
            <w:r>
              <w:rPr>
                <w:rFonts w:hint="default" w:ascii="黑体" w:hAnsi="黑体" w:eastAsia="黑体" w:cs="黑体"/>
                <w:b/>
                <w:bCs w:val="0"/>
                <w:color w:val="auto"/>
                <w:sz w:val="20"/>
                <w:szCs w:val="20"/>
                <w:highlight w:val="none"/>
                <w:lang w:val="en-US" w:eastAsia="zh-CN"/>
              </w:rPr>
              <w:t>周,</w:t>
            </w:r>
            <w:r>
              <w:rPr>
                <w:rFonts w:hint="eastAsia" w:ascii="黑体" w:hAnsi="黑体" w:eastAsia="黑体" w:cs="黑体"/>
                <w:b/>
                <w:bCs w:val="0"/>
                <w:color w:val="auto"/>
                <w:sz w:val="20"/>
                <w:szCs w:val="20"/>
                <w:highlight w:val="none"/>
                <w:lang w:val="en-US" w:eastAsia="zh-CN"/>
              </w:rPr>
              <w:t>是备课组集体备课周。</w:t>
            </w:r>
          </w:p>
          <w:p w14:paraId="645BFE0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21" w:firstLineChars="200"/>
              <w:jc w:val="both"/>
              <w:textAlignment w:val="auto"/>
              <w:rPr>
                <w:rFonts w:hint="eastAsia" w:ascii="黑体" w:hAnsi="黑体" w:eastAsia="黑体" w:cs="黑体"/>
                <w:b/>
                <w:bCs w:val="0"/>
                <w:color w:val="auto"/>
                <w:sz w:val="20"/>
                <w:szCs w:val="20"/>
                <w:highlight w:val="none"/>
                <w:lang w:val="en-US" w:eastAsia="zh-CN"/>
              </w:rPr>
            </w:pPr>
            <w:r>
              <w:rPr>
                <w:rFonts w:hint="eastAsia" w:ascii="黑体" w:hAnsi="黑体" w:eastAsia="黑体" w:cs="黑体"/>
                <w:b/>
                <w:bCs w:val="0"/>
                <w:color w:val="auto"/>
                <w:sz w:val="16"/>
                <w:szCs w:val="16"/>
                <w:highlight w:val="none"/>
                <w:lang w:val="en-US" w:eastAsia="zh-CN"/>
              </w:rPr>
              <w:t>（一）备课</w:t>
            </w:r>
            <w:r>
              <w:rPr>
                <w:rFonts w:hint="eastAsia" w:ascii="黑体" w:hAnsi="黑体" w:eastAsia="黑体" w:cs="黑体"/>
                <w:b/>
                <w:bCs w:val="0"/>
                <w:color w:val="auto"/>
                <w:sz w:val="20"/>
                <w:szCs w:val="20"/>
                <w:highlight w:val="none"/>
                <w:lang w:val="en-US" w:eastAsia="zh-CN"/>
              </w:rPr>
              <w:t>组长主持：</w:t>
            </w:r>
          </w:p>
          <w:p w14:paraId="5FE3EB7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2" w:firstLineChars="200"/>
              <w:jc w:val="both"/>
              <w:textAlignment w:val="auto"/>
              <w:rPr>
                <w:rFonts w:hint="default" w:ascii="黑体" w:hAnsi="黑体" w:eastAsia="黑体" w:cs="黑体"/>
                <w:b/>
                <w:bCs w:val="0"/>
                <w:color w:val="auto"/>
                <w:sz w:val="20"/>
                <w:szCs w:val="20"/>
                <w:highlight w:val="none"/>
                <w:lang w:val="en-US" w:eastAsia="zh-CN"/>
              </w:rPr>
            </w:pPr>
            <w:r>
              <w:rPr>
                <w:rFonts w:hint="eastAsia" w:ascii="黑体" w:hAnsi="黑体" w:eastAsia="黑体" w:cs="黑体"/>
                <w:b/>
                <w:bCs w:val="0"/>
                <w:color w:val="auto"/>
                <w:sz w:val="20"/>
                <w:szCs w:val="20"/>
                <w:highlight w:val="none"/>
                <w:lang w:val="en-US" w:eastAsia="zh-CN"/>
              </w:rPr>
              <w:t>1.继续结合新形势、新任务、新理念 新标准，新方法，新工具，新课题，新要求，落实第14周学科组例会精神。继续开拓备课组集体备课创新，践行理想课堂建设的理念方法，在利用集体的智慧建设理想课堂的同时全面提高教师的专业技术水平，全面提高教学质量为理想课堂建设做出新贡献。</w:t>
            </w:r>
          </w:p>
          <w:p w14:paraId="64F2559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2" w:firstLineChars="200"/>
              <w:jc w:val="both"/>
              <w:textAlignment w:val="auto"/>
              <w:rPr>
                <w:rFonts w:hint="eastAsia" w:ascii="黑体" w:hAnsi="黑体" w:eastAsia="黑体" w:cs="黑体"/>
                <w:b/>
                <w:bCs w:val="0"/>
                <w:color w:val="auto"/>
                <w:sz w:val="20"/>
                <w:szCs w:val="20"/>
                <w:highlight w:val="none"/>
                <w:lang w:val="en-US" w:eastAsia="zh-CN"/>
              </w:rPr>
            </w:pPr>
            <w:r>
              <w:rPr>
                <w:rFonts w:hint="eastAsia" w:ascii="黑体" w:hAnsi="黑体" w:eastAsia="黑体" w:cs="黑体"/>
                <w:b/>
                <w:bCs w:val="0"/>
                <w:color w:val="auto"/>
                <w:sz w:val="20"/>
                <w:szCs w:val="20"/>
                <w:highlight w:val="none"/>
                <w:lang w:val="en-US" w:eastAsia="zh-CN"/>
              </w:rPr>
              <w:t>2.坚持加强“崇文实验学校课堂学习规范”6大项14个小项的常态全员化走课评价管理，坚持守正创新“发现亮点，克服问题，提出建议，持之以恒”，每个教师都要详细总结自己走课观察与思考。反思自己的课堂管理，践行自己的有效管理，“为全体学生课堂学习行为根本性可持续改变和为学生的可持续发展和生命幸福做出我们每个人的努力。</w:t>
            </w:r>
          </w:p>
          <w:p w14:paraId="42C53D0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61" w:firstLineChars="200"/>
              <w:jc w:val="both"/>
              <w:textAlignment w:val="auto"/>
              <w:rPr>
                <w:rFonts w:hint="default" w:ascii="黑体" w:hAnsi="黑体" w:eastAsia="黑体" w:cs="黑体"/>
                <w:b/>
                <w:bCs w:val="0"/>
                <w:color w:val="auto"/>
                <w:sz w:val="20"/>
                <w:szCs w:val="20"/>
                <w:highlight w:val="none"/>
                <w:lang w:val="en-US" w:eastAsia="zh-CN"/>
              </w:rPr>
            </w:pPr>
            <w:r>
              <w:rPr>
                <w:rFonts w:hint="eastAsia" w:ascii="黑体" w:hAnsi="黑体" w:eastAsia="黑体" w:cs="黑体"/>
                <w:b/>
                <w:bCs w:val="0"/>
                <w:color w:val="auto"/>
                <w:sz w:val="18"/>
                <w:szCs w:val="18"/>
                <w:highlight w:val="none"/>
                <w:lang w:val="en-US" w:eastAsia="zh-CN"/>
              </w:rPr>
              <w:t>3.本周“读书用书”继续阅读研究实践“</w:t>
            </w:r>
            <w:r>
              <w:rPr>
                <w:rFonts w:hint="eastAsia" w:ascii="黑体" w:hAnsi="黑体" w:eastAsia="黑体" w:cs="黑体"/>
                <w:b/>
                <w:bCs w:val="0"/>
                <w:color w:val="auto"/>
                <w:sz w:val="20"/>
                <w:szCs w:val="20"/>
                <w:highlight w:val="none"/>
                <w:lang w:val="en-US" w:eastAsia="zh-CN"/>
              </w:rPr>
              <w:t>项目式学习教师手册”把上周的例会精神有计划地学习研究实践，早出成果，练就手艺本领。创造性抓好自己课堂项目化的管理，积累自己的管理手艺、技术和绝活，成为稀缺有能力的管理者。</w:t>
            </w:r>
          </w:p>
          <w:p w14:paraId="55ED21A3">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32" w:firstLineChars="200"/>
              <w:jc w:val="both"/>
              <w:textAlignment w:val="auto"/>
              <w:rPr>
                <w:rFonts w:hint="default" w:ascii="Microsoft YaHei UI" w:hAnsi="Microsoft YaHei UI" w:eastAsia="Microsoft YaHei UI" w:cs="Microsoft YaHei UI"/>
                <w:b/>
                <w:bCs w:val="0"/>
                <w:i w:val="0"/>
                <w:iCs w:val="0"/>
                <w:caps w:val="0"/>
                <w:color w:val="auto"/>
                <w:spacing w:val="8"/>
                <w:sz w:val="21"/>
                <w:szCs w:val="21"/>
                <w:shd w:val="clear" w:color="auto" w:fill="FFFFFF"/>
                <w:lang w:val="en-US" w:eastAsia="zh-CN"/>
              </w:rPr>
            </w:pPr>
            <w:r>
              <w:rPr>
                <w:rFonts w:hint="eastAsia" w:ascii="Microsoft YaHei UI" w:hAnsi="Microsoft YaHei UI" w:eastAsia="Microsoft YaHei UI" w:cs="Microsoft YaHei UI"/>
                <w:b/>
                <w:bCs w:val="0"/>
                <w:i w:val="0"/>
                <w:iCs w:val="0"/>
                <w:caps w:val="0"/>
                <w:color w:val="auto"/>
                <w:spacing w:val="8"/>
                <w:sz w:val="15"/>
                <w:szCs w:val="15"/>
                <w:shd w:val="clear" w:color="auto" w:fill="FFFFFF"/>
                <w:lang w:val="en-US" w:eastAsia="zh-CN"/>
              </w:rPr>
              <w:t>（二）</w:t>
            </w:r>
            <w:r>
              <w:rPr>
                <w:rFonts w:hint="eastAsia" w:ascii="Microsoft YaHei UI" w:hAnsi="Microsoft YaHei UI" w:eastAsia="Microsoft YaHei UI" w:cs="Microsoft YaHei UI"/>
                <w:b/>
                <w:bCs w:val="0"/>
                <w:i w:val="0"/>
                <w:iCs w:val="0"/>
                <w:caps w:val="0"/>
                <w:color w:val="auto"/>
                <w:spacing w:val="8"/>
                <w:sz w:val="21"/>
                <w:szCs w:val="21"/>
                <w:shd w:val="clear" w:color="auto" w:fill="FFFFFF"/>
                <w:lang w:val="en-US" w:eastAsia="zh-CN"/>
              </w:rPr>
              <w:t>高质量开展的一个月的“青年教师课堂教学成果”展示活动（4周）提供更好的教学评一致性，一课一得“”趣、实、活”可持续发展的理想课堂，青年教师的快速成长进步看得见，得好评受称赞。</w:t>
            </w:r>
          </w:p>
          <w:p w14:paraId="283A694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2" w:firstLineChars="200"/>
              <w:jc w:val="both"/>
              <w:textAlignment w:val="auto"/>
              <w:rPr>
                <w:rFonts w:hint="default" w:ascii="黑体" w:hAnsi="黑体" w:eastAsia="黑体" w:cs="黑体"/>
                <w:b/>
                <w:bCs w:val="0"/>
                <w:color w:val="auto"/>
                <w:sz w:val="20"/>
                <w:szCs w:val="20"/>
                <w:highlight w:val="none"/>
                <w:lang w:val="en-US" w:eastAsia="zh-CN"/>
              </w:rPr>
            </w:pPr>
            <w:r>
              <w:rPr>
                <w:rFonts w:hint="eastAsia" w:ascii="黑体" w:hAnsi="黑体" w:eastAsia="黑体" w:cs="黑体"/>
                <w:b/>
                <w:bCs w:val="0"/>
                <w:color w:val="auto"/>
                <w:sz w:val="20"/>
                <w:szCs w:val="20"/>
                <w:highlight w:val="none"/>
                <w:lang w:val="en-US" w:eastAsia="zh-CN"/>
              </w:rPr>
              <w:t>二、坚持“熟用课标，细思教材，活用教参，研究学生，武装自己”实现“</w:t>
            </w:r>
            <w:r>
              <w:rPr>
                <w:rFonts w:hint="default" w:ascii="黑体" w:hAnsi="黑体" w:eastAsia="黑体" w:cs="黑体"/>
                <w:b/>
                <w:bCs w:val="0"/>
                <w:color w:val="auto"/>
                <w:sz w:val="20"/>
                <w:szCs w:val="20"/>
                <w:highlight w:val="none"/>
                <w:lang w:val="en-US" w:eastAsia="zh-CN"/>
              </w:rPr>
              <w:t>教师</w:t>
            </w:r>
            <w:r>
              <w:rPr>
                <w:rFonts w:hint="eastAsia" w:ascii="黑体" w:hAnsi="黑体" w:eastAsia="黑体" w:cs="黑体"/>
                <w:b/>
                <w:bCs w:val="0"/>
                <w:color w:val="auto"/>
                <w:sz w:val="20"/>
                <w:szCs w:val="20"/>
                <w:highlight w:val="none"/>
                <w:lang w:val="en-US" w:eastAsia="zh-CN"/>
              </w:rPr>
              <w:t>精心备课看得见”</w:t>
            </w:r>
            <w:r>
              <w:rPr>
                <w:rFonts w:hint="default" w:ascii="黑体" w:hAnsi="黑体" w:eastAsia="黑体" w:cs="黑体"/>
                <w:b/>
                <w:bCs w:val="0"/>
                <w:color w:val="auto"/>
                <w:sz w:val="20"/>
                <w:szCs w:val="20"/>
                <w:highlight w:val="none"/>
                <w:lang w:val="en-US" w:eastAsia="zh-CN"/>
              </w:rPr>
              <w:t>和“学生怎样学会看</w:t>
            </w:r>
            <w:r>
              <w:rPr>
                <w:rFonts w:hint="eastAsia" w:ascii="黑体" w:hAnsi="黑体" w:eastAsia="黑体" w:cs="黑体"/>
                <w:b/>
                <w:bCs w:val="0"/>
                <w:color w:val="auto"/>
                <w:sz w:val="20"/>
                <w:szCs w:val="20"/>
                <w:highlight w:val="none"/>
                <w:lang w:val="en-US" w:eastAsia="zh-CN"/>
              </w:rPr>
              <w:t>得着</w:t>
            </w:r>
            <w:r>
              <w:rPr>
                <w:rFonts w:hint="default" w:ascii="黑体" w:hAnsi="黑体" w:eastAsia="黑体" w:cs="黑体"/>
                <w:b/>
                <w:bCs w:val="0"/>
                <w:color w:val="auto"/>
                <w:sz w:val="20"/>
                <w:szCs w:val="20"/>
                <w:highlight w:val="none"/>
                <w:lang w:val="en-US" w:eastAsia="zh-CN"/>
              </w:rPr>
              <w:t>”,总结经</w:t>
            </w:r>
            <w:r>
              <w:rPr>
                <w:rFonts w:hint="eastAsia" w:ascii="黑体" w:hAnsi="黑体" w:eastAsia="黑体" w:cs="黑体"/>
                <w:b/>
                <w:bCs w:val="0"/>
                <w:color w:val="auto"/>
                <w:sz w:val="20"/>
                <w:szCs w:val="20"/>
                <w:highlight w:val="none"/>
                <w:lang w:val="en-US" w:eastAsia="zh-CN"/>
              </w:rPr>
              <w:t>验，</w:t>
            </w:r>
            <w:r>
              <w:rPr>
                <w:rFonts w:hint="default" w:ascii="黑体" w:hAnsi="黑体" w:eastAsia="黑体" w:cs="黑体"/>
                <w:b/>
                <w:bCs w:val="0"/>
                <w:color w:val="auto"/>
                <w:sz w:val="20"/>
                <w:szCs w:val="20"/>
                <w:highlight w:val="none"/>
                <w:lang w:val="en-US" w:eastAsia="zh-CN"/>
              </w:rPr>
              <w:t>练</w:t>
            </w:r>
            <w:r>
              <w:rPr>
                <w:rFonts w:hint="eastAsia" w:ascii="黑体" w:hAnsi="黑体" w:eastAsia="黑体" w:cs="黑体"/>
                <w:b/>
                <w:bCs w:val="0"/>
                <w:color w:val="auto"/>
                <w:sz w:val="20"/>
                <w:szCs w:val="20"/>
                <w:highlight w:val="none"/>
                <w:lang w:val="en-US" w:eastAsia="zh-CN"/>
              </w:rPr>
              <w:t>就</w:t>
            </w:r>
            <w:r>
              <w:rPr>
                <w:rFonts w:hint="default" w:ascii="黑体" w:hAnsi="黑体" w:eastAsia="黑体" w:cs="黑体"/>
                <w:b/>
                <w:bCs w:val="0"/>
                <w:color w:val="auto"/>
                <w:sz w:val="20"/>
                <w:szCs w:val="20"/>
                <w:highlight w:val="none"/>
                <w:lang w:val="en-US" w:eastAsia="zh-CN"/>
              </w:rPr>
              <w:t>绝</w:t>
            </w:r>
            <w:r>
              <w:rPr>
                <w:rFonts w:hint="eastAsia" w:ascii="黑体" w:hAnsi="黑体" w:eastAsia="黑体" w:cs="黑体"/>
                <w:b/>
                <w:bCs w:val="0"/>
                <w:color w:val="auto"/>
                <w:sz w:val="20"/>
                <w:szCs w:val="20"/>
                <w:highlight w:val="none"/>
                <w:lang w:val="en-US" w:eastAsia="zh-CN"/>
              </w:rPr>
              <w:t>活</w:t>
            </w:r>
            <w:r>
              <w:rPr>
                <w:rFonts w:hint="default" w:ascii="黑体" w:hAnsi="黑体" w:eastAsia="黑体" w:cs="黑体"/>
                <w:b/>
                <w:bCs w:val="0"/>
                <w:color w:val="auto"/>
                <w:sz w:val="20"/>
                <w:szCs w:val="20"/>
                <w:highlight w:val="none"/>
                <w:lang w:val="en-US" w:eastAsia="zh-CN"/>
              </w:rPr>
              <w:t>,不</w:t>
            </w:r>
            <w:r>
              <w:rPr>
                <w:rFonts w:hint="eastAsia" w:ascii="黑体" w:hAnsi="黑体" w:eastAsia="黑体" w:cs="黑体"/>
                <w:b/>
                <w:bCs w:val="0"/>
                <w:color w:val="auto"/>
                <w:sz w:val="20"/>
                <w:szCs w:val="20"/>
                <w:highlight w:val="none"/>
                <w:lang w:val="en-US" w:eastAsia="zh-CN"/>
              </w:rPr>
              <w:t>断</w:t>
            </w:r>
            <w:r>
              <w:rPr>
                <w:rFonts w:hint="default" w:ascii="黑体" w:hAnsi="黑体" w:eastAsia="黑体" w:cs="黑体"/>
                <w:b/>
                <w:bCs w:val="0"/>
                <w:color w:val="auto"/>
                <w:sz w:val="20"/>
                <w:szCs w:val="20"/>
                <w:highlight w:val="none"/>
                <w:lang w:val="en-US" w:eastAsia="zh-CN"/>
              </w:rPr>
              <w:t>增值</w:t>
            </w:r>
            <w:r>
              <w:rPr>
                <w:rFonts w:hint="eastAsia" w:ascii="黑体" w:hAnsi="黑体" w:eastAsia="黑体" w:cs="黑体"/>
                <w:b/>
                <w:bCs w:val="0"/>
                <w:color w:val="auto"/>
                <w:sz w:val="20"/>
                <w:szCs w:val="20"/>
                <w:highlight w:val="none"/>
                <w:lang w:val="en-US" w:eastAsia="zh-CN"/>
              </w:rPr>
              <w:t>，促进每个学生的都不断进步。</w:t>
            </w:r>
            <w:r>
              <w:rPr>
                <w:rFonts w:hint="default" w:ascii="黑体" w:hAnsi="黑体" w:eastAsia="黑体" w:cs="黑体"/>
                <w:b/>
                <w:bCs w:val="0"/>
                <w:color w:val="auto"/>
                <w:sz w:val="20"/>
                <w:szCs w:val="20"/>
                <w:highlight w:val="none"/>
                <w:lang w:val="en-US" w:eastAsia="zh-CN"/>
              </w:rPr>
              <w:t>在《课程标准》指引下,</w:t>
            </w:r>
            <w:r>
              <w:rPr>
                <w:rFonts w:hint="eastAsia" w:ascii="黑体" w:hAnsi="黑体" w:eastAsia="黑体" w:cs="黑体"/>
                <w:b/>
                <w:bCs w:val="0"/>
                <w:color w:val="auto"/>
                <w:sz w:val="20"/>
                <w:szCs w:val="20"/>
                <w:highlight w:val="none"/>
                <w:lang w:val="en-US" w:eastAsia="zh-CN"/>
              </w:rPr>
              <w:t>在数智技术有效助力下，教师</w:t>
            </w:r>
            <w:r>
              <w:rPr>
                <w:rFonts w:hint="default" w:ascii="黑体" w:hAnsi="黑体" w:eastAsia="黑体" w:cs="黑体"/>
                <w:b/>
                <w:bCs w:val="0"/>
                <w:color w:val="auto"/>
                <w:sz w:val="20"/>
                <w:szCs w:val="20"/>
                <w:highlight w:val="none"/>
                <w:lang w:val="en-US" w:eastAsia="zh-CN"/>
              </w:rPr>
              <w:t>做</w:t>
            </w:r>
            <w:r>
              <w:rPr>
                <w:rFonts w:hint="eastAsia" w:ascii="黑体" w:hAnsi="黑体" w:eastAsia="黑体" w:cs="黑体"/>
                <w:b/>
                <w:bCs w:val="0"/>
                <w:color w:val="auto"/>
                <w:sz w:val="20"/>
                <w:szCs w:val="20"/>
                <w:highlight w:val="none"/>
                <w:lang w:val="en-US" w:eastAsia="zh-CN"/>
              </w:rPr>
              <w:t>到</w:t>
            </w:r>
            <w:r>
              <w:rPr>
                <w:rFonts w:hint="default" w:ascii="黑体" w:hAnsi="黑体" w:eastAsia="黑体" w:cs="黑体"/>
                <w:b/>
                <w:bCs w:val="0"/>
                <w:color w:val="auto"/>
                <w:sz w:val="20"/>
                <w:szCs w:val="20"/>
                <w:highlight w:val="none"/>
                <w:lang w:val="en-US" w:eastAsia="zh-CN"/>
              </w:rPr>
              <w:t>“有</w:t>
            </w:r>
            <w:r>
              <w:rPr>
                <w:rFonts w:hint="eastAsia" w:ascii="黑体" w:hAnsi="黑体" w:eastAsia="黑体" w:cs="黑体"/>
                <w:b/>
                <w:bCs w:val="0"/>
                <w:color w:val="auto"/>
                <w:sz w:val="20"/>
                <w:szCs w:val="20"/>
                <w:highlight w:val="none"/>
                <w:lang w:val="en-US" w:eastAsia="zh-CN"/>
              </w:rPr>
              <w:t>教</w:t>
            </w:r>
            <w:r>
              <w:rPr>
                <w:rFonts w:hint="default" w:ascii="黑体" w:hAnsi="黑体" w:eastAsia="黑体" w:cs="黑体"/>
                <w:b/>
                <w:bCs w:val="0"/>
                <w:color w:val="auto"/>
                <w:sz w:val="20"/>
                <w:szCs w:val="20"/>
                <w:highlight w:val="none"/>
                <w:lang w:val="en-US" w:eastAsia="zh-CN"/>
              </w:rPr>
              <w:t>无</w:t>
            </w:r>
            <w:r>
              <w:rPr>
                <w:rFonts w:hint="eastAsia" w:ascii="黑体" w:hAnsi="黑体" w:eastAsia="黑体" w:cs="黑体"/>
                <w:b/>
                <w:bCs w:val="0"/>
                <w:color w:val="auto"/>
                <w:sz w:val="20"/>
                <w:szCs w:val="20"/>
                <w:highlight w:val="none"/>
                <w:lang w:val="en-US" w:eastAsia="zh-CN"/>
              </w:rPr>
              <w:t>类</w:t>
            </w:r>
            <w:r>
              <w:rPr>
                <w:rFonts w:hint="default" w:ascii="黑体" w:hAnsi="黑体" w:eastAsia="黑体" w:cs="黑体"/>
                <w:b/>
                <w:bCs w:val="0"/>
                <w:color w:val="auto"/>
                <w:sz w:val="20"/>
                <w:szCs w:val="20"/>
                <w:highlight w:val="none"/>
                <w:lang w:val="en-US" w:eastAsia="zh-CN"/>
              </w:rPr>
              <w:t>,</w:t>
            </w:r>
            <w:r>
              <w:rPr>
                <w:rFonts w:hint="eastAsia" w:ascii="黑体" w:hAnsi="黑体" w:eastAsia="黑体" w:cs="黑体"/>
                <w:b/>
                <w:bCs w:val="0"/>
                <w:color w:val="auto"/>
                <w:sz w:val="20"/>
                <w:szCs w:val="20"/>
                <w:highlight w:val="none"/>
                <w:lang w:val="en-US" w:eastAsia="zh-CN"/>
              </w:rPr>
              <w:t>因</w:t>
            </w:r>
            <w:r>
              <w:rPr>
                <w:rFonts w:hint="default" w:ascii="黑体" w:hAnsi="黑体" w:eastAsia="黑体" w:cs="黑体"/>
                <w:b/>
                <w:bCs w:val="0"/>
                <w:color w:val="auto"/>
                <w:sz w:val="20"/>
                <w:szCs w:val="20"/>
                <w:highlight w:val="none"/>
                <w:lang w:val="en-US" w:eastAsia="zh-CN"/>
              </w:rPr>
              <w:t>材</w:t>
            </w:r>
            <w:r>
              <w:rPr>
                <w:rFonts w:hint="eastAsia" w:ascii="黑体" w:hAnsi="黑体" w:eastAsia="黑体" w:cs="黑体"/>
                <w:b/>
                <w:bCs w:val="0"/>
                <w:color w:val="auto"/>
                <w:sz w:val="20"/>
                <w:szCs w:val="20"/>
                <w:highlight w:val="none"/>
                <w:lang w:val="en-US" w:eastAsia="zh-CN"/>
              </w:rPr>
              <w:t>施</w:t>
            </w:r>
            <w:r>
              <w:rPr>
                <w:rFonts w:hint="default" w:ascii="黑体" w:hAnsi="黑体" w:eastAsia="黑体" w:cs="黑体"/>
                <w:b/>
                <w:bCs w:val="0"/>
                <w:color w:val="auto"/>
                <w:sz w:val="20"/>
                <w:szCs w:val="20"/>
                <w:highlight w:val="none"/>
                <w:lang w:val="en-US" w:eastAsia="zh-CN"/>
              </w:rPr>
              <w:t>教,</w:t>
            </w:r>
            <w:r>
              <w:rPr>
                <w:rFonts w:hint="eastAsia" w:ascii="黑体" w:hAnsi="黑体" w:eastAsia="黑体" w:cs="黑体"/>
                <w:b/>
                <w:bCs w:val="0"/>
                <w:color w:val="auto"/>
                <w:sz w:val="20"/>
                <w:szCs w:val="20"/>
                <w:highlight w:val="none"/>
                <w:lang w:val="en-US" w:eastAsia="zh-CN"/>
              </w:rPr>
              <w:t>寓教于乐</w:t>
            </w:r>
            <w:r>
              <w:rPr>
                <w:rFonts w:hint="default" w:ascii="黑体" w:hAnsi="黑体" w:eastAsia="黑体" w:cs="黑体"/>
                <w:b/>
                <w:bCs w:val="0"/>
                <w:color w:val="auto"/>
                <w:sz w:val="20"/>
                <w:szCs w:val="20"/>
                <w:highlight w:val="none"/>
                <w:lang w:val="en-US" w:eastAsia="zh-CN"/>
              </w:rPr>
              <w:t>,</w:t>
            </w:r>
            <w:r>
              <w:rPr>
                <w:rFonts w:hint="eastAsia" w:ascii="黑体" w:hAnsi="黑体" w:eastAsia="黑体" w:cs="黑体"/>
                <w:b/>
                <w:bCs w:val="0"/>
                <w:color w:val="auto"/>
                <w:sz w:val="20"/>
                <w:szCs w:val="20"/>
                <w:highlight w:val="none"/>
                <w:lang w:val="en-US" w:eastAsia="zh-CN"/>
              </w:rPr>
              <w:t>教学相</w:t>
            </w:r>
            <w:r>
              <w:rPr>
                <w:rFonts w:hint="default" w:ascii="黑体" w:hAnsi="黑体" w:eastAsia="黑体" w:cs="黑体"/>
                <w:b/>
                <w:bCs w:val="0"/>
                <w:color w:val="auto"/>
                <w:sz w:val="20"/>
                <w:szCs w:val="20"/>
                <w:highlight w:val="none"/>
                <w:lang w:val="en-US" w:eastAsia="zh-CN"/>
              </w:rPr>
              <w:t>长”,在发展学生</w:t>
            </w:r>
            <w:r>
              <w:rPr>
                <w:rFonts w:hint="eastAsia" w:ascii="黑体" w:hAnsi="黑体" w:eastAsia="黑体" w:cs="黑体"/>
                <w:b/>
                <w:bCs w:val="0"/>
                <w:color w:val="auto"/>
                <w:sz w:val="20"/>
                <w:szCs w:val="20"/>
                <w:highlight w:val="none"/>
                <w:lang w:val="en-US" w:eastAsia="zh-CN"/>
              </w:rPr>
              <w:t>核心素</w:t>
            </w:r>
            <w:r>
              <w:rPr>
                <w:rFonts w:hint="default" w:ascii="黑体" w:hAnsi="黑体" w:eastAsia="黑体" w:cs="黑体"/>
                <w:b/>
                <w:bCs w:val="0"/>
                <w:color w:val="auto"/>
                <w:sz w:val="20"/>
                <w:szCs w:val="20"/>
                <w:highlight w:val="none"/>
                <w:lang w:val="en-US" w:eastAsia="zh-CN"/>
              </w:rPr>
              <w:t>理念的美怀下,学生</w:t>
            </w:r>
            <w:r>
              <w:rPr>
                <w:rFonts w:hint="eastAsia" w:ascii="黑体" w:hAnsi="黑体" w:eastAsia="黑体" w:cs="黑体"/>
                <w:b/>
                <w:bCs w:val="0"/>
                <w:color w:val="auto"/>
                <w:sz w:val="20"/>
                <w:szCs w:val="20"/>
                <w:highlight w:val="none"/>
                <w:lang w:val="en-US" w:eastAsia="zh-CN"/>
              </w:rPr>
              <w:t>低负担</w:t>
            </w:r>
            <w:r>
              <w:rPr>
                <w:rFonts w:hint="default" w:ascii="黑体" w:hAnsi="黑体" w:eastAsia="黑体" w:cs="黑体"/>
                <w:b/>
                <w:bCs w:val="0"/>
                <w:color w:val="auto"/>
                <w:sz w:val="20"/>
                <w:szCs w:val="20"/>
                <w:highlight w:val="none"/>
                <w:lang w:val="en-US" w:eastAsia="zh-CN"/>
              </w:rPr>
              <w:t>实现“学以</w:t>
            </w:r>
            <w:r>
              <w:rPr>
                <w:rFonts w:hint="eastAsia" w:ascii="黑体" w:hAnsi="黑体" w:eastAsia="黑体" w:cs="黑体"/>
                <w:b/>
                <w:bCs w:val="0"/>
                <w:color w:val="auto"/>
                <w:sz w:val="20"/>
                <w:szCs w:val="20"/>
                <w:highlight w:val="none"/>
                <w:lang w:val="en-US" w:eastAsia="zh-CN"/>
              </w:rPr>
              <w:t>致用</w:t>
            </w:r>
            <w:r>
              <w:rPr>
                <w:rFonts w:hint="default" w:ascii="黑体" w:hAnsi="黑体" w:eastAsia="黑体" w:cs="黑体"/>
                <w:b/>
                <w:bCs w:val="0"/>
                <w:color w:val="auto"/>
                <w:sz w:val="20"/>
                <w:szCs w:val="20"/>
                <w:highlight w:val="none"/>
                <w:lang w:val="en-US" w:eastAsia="zh-CN"/>
              </w:rPr>
              <w:t>,学</w:t>
            </w:r>
            <w:r>
              <w:rPr>
                <w:rFonts w:hint="eastAsia" w:ascii="黑体" w:hAnsi="黑体" w:eastAsia="黑体" w:cs="黑体"/>
                <w:b/>
                <w:bCs w:val="0"/>
                <w:color w:val="auto"/>
                <w:sz w:val="20"/>
                <w:szCs w:val="20"/>
                <w:highlight w:val="none"/>
                <w:lang w:val="en-US" w:eastAsia="zh-CN"/>
              </w:rPr>
              <w:t>而</w:t>
            </w:r>
            <w:r>
              <w:rPr>
                <w:rFonts w:hint="default" w:ascii="黑体" w:hAnsi="黑体" w:eastAsia="黑体" w:cs="黑体"/>
                <w:b/>
                <w:bCs w:val="0"/>
                <w:color w:val="auto"/>
                <w:sz w:val="20"/>
                <w:szCs w:val="20"/>
                <w:highlight w:val="none"/>
                <w:lang w:val="en-US" w:eastAsia="zh-CN"/>
              </w:rPr>
              <w:t>时习,</w:t>
            </w:r>
            <w:r>
              <w:rPr>
                <w:rFonts w:hint="eastAsia" w:ascii="黑体" w:hAnsi="黑体" w:eastAsia="黑体" w:cs="黑体"/>
                <w:b/>
                <w:bCs w:val="0"/>
                <w:color w:val="auto"/>
                <w:sz w:val="20"/>
                <w:szCs w:val="20"/>
                <w:highlight w:val="none"/>
                <w:lang w:val="en-US" w:eastAsia="zh-CN"/>
              </w:rPr>
              <w:t>循序渐</w:t>
            </w:r>
            <w:r>
              <w:rPr>
                <w:rFonts w:hint="default" w:ascii="黑体" w:hAnsi="黑体" w:eastAsia="黑体" w:cs="黑体"/>
                <w:b/>
                <w:bCs w:val="0"/>
                <w:color w:val="auto"/>
                <w:sz w:val="20"/>
                <w:szCs w:val="20"/>
                <w:highlight w:val="none"/>
                <w:lang w:val="en-US" w:eastAsia="zh-CN"/>
              </w:rPr>
              <w:t>进,</w:t>
            </w:r>
            <w:r>
              <w:rPr>
                <w:rFonts w:hint="eastAsia" w:ascii="黑体" w:hAnsi="黑体" w:eastAsia="黑体" w:cs="黑体"/>
                <w:b/>
                <w:bCs w:val="0"/>
                <w:color w:val="auto"/>
                <w:sz w:val="20"/>
                <w:szCs w:val="20"/>
                <w:highlight w:val="none"/>
                <w:lang w:val="en-US" w:eastAsia="zh-CN"/>
              </w:rPr>
              <w:t>持</w:t>
            </w:r>
            <w:r>
              <w:rPr>
                <w:rFonts w:hint="default" w:ascii="黑体" w:hAnsi="黑体" w:eastAsia="黑体" w:cs="黑体"/>
                <w:b/>
                <w:bCs w:val="0"/>
                <w:color w:val="auto"/>
                <w:sz w:val="20"/>
                <w:szCs w:val="20"/>
                <w:highlight w:val="none"/>
                <w:lang w:val="en-US" w:eastAsia="zh-CN"/>
              </w:rPr>
              <w:t>之以恒,”</w:t>
            </w:r>
            <w:r>
              <w:rPr>
                <w:rFonts w:hint="eastAsia" w:ascii="黑体" w:hAnsi="黑体" w:eastAsia="黑体" w:cs="黑体"/>
                <w:b/>
                <w:bCs w:val="0"/>
                <w:color w:val="auto"/>
                <w:sz w:val="20"/>
                <w:szCs w:val="20"/>
                <w:highlight w:val="none"/>
                <w:lang w:val="en-US" w:eastAsia="zh-CN"/>
              </w:rPr>
              <w:t>，建设教、学、评</w:t>
            </w:r>
            <w:r>
              <w:rPr>
                <w:rFonts w:hint="default" w:ascii="黑体" w:hAnsi="黑体" w:eastAsia="黑体" w:cs="黑体"/>
                <w:b/>
                <w:bCs w:val="0"/>
                <w:color w:val="auto"/>
                <w:sz w:val="20"/>
                <w:szCs w:val="20"/>
                <w:highlight w:val="none"/>
                <w:lang w:val="en-US" w:eastAsia="zh-CN"/>
              </w:rPr>
              <w:t>一</w:t>
            </w:r>
            <w:r>
              <w:rPr>
                <w:rFonts w:hint="eastAsia" w:ascii="黑体" w:hAnsi="黑体" w:eastAsia="黑体" w:cs="黑体"/>
                <w:b/>
                <w:bCs w:val="0"/>
                <w:color w:val="auto"/>
                <w:sz w:val="20"/>
                <w:szCs w:val="20"/>
                <w:highlight w:val="none"/>
                <w:lang w:val="en-US" w:eastAsia="zh-CN"/>
              </w:rPr>
              <w:t>体</w:t>
            </w:r>
            <w:r>
              <w:rPr>
                <w:rFonts w:hint="default" w:ascii="黑体" w:hAnsi="黑体" w:eastAsia="黑体" w:cs="黑体"/>
                <w:b/>
                <w:bCs w:val="0"/>
                <w:color w:val="auto"/>
                <w:sz w:val="20"/>
                <w:szCs w:val="20"/>
                <w:highlight w:val="none"/>
                <w:lang w:val="en-US" w:eastAsia="zh-CN"/>
              </w:rPr>
              <w:t>化</w:t>
            </w:r>
            <w:r>
              <w:rPr>
                <w:rFonts w:hint="eastAsia" w:ascii="黑体" w:hAnsi="黑体" w:eastAsia="黑体" w:cs="黑体"/>
                <w:b/>
                <w:bCs w:val="0"/>
                <w:color w:val="auto"/>
                <w:sz w:val="20"/>
                <w:szCs w:val="20"/>
                <w:highlight w:val="none"/>
                <w:lang w:val="en-US" w:eastAsia="zh-CN"/>
              </w:rPr>
              <w:t>趣实活的一课一得的</w:t>
            </w:r>
            <w:r>
              <w:rPr>
                <w:rFonts w:hint="default" w:ascii="黑体" w:hAnsi="黑体" w:eastAsia="黑体" w:cs="黑体"/>
                <w:b/>
                <w:bCs w:val="0"/>
                <w:color w:val="auto"/>
                <w:sz w:val="20"/>
                <w:szCs w:val="20"/>
                <w:highlight w:val="none"/>
                <w:lang w:val="en-US" w:eastAsia="zh-CN"/>
              </w:rPr>
              <w:t>理想课堂,不断</w:t>
            </w:r>
            <w:r>
              <w:rPr>
                <w:rFonts w:hint="eastAsia" w:ascii="黑体" w:hAnsi="黑体" w:eastAsia="黑体" w:cs="黑体"/>
                <w:b/>
                <w:bCs w:val="0"/>
                <w:color w:val="auto"/>
                <w:sz w:val="20"/>
                <w:szCs w:val="20"/>
                <w:highlight w:val="none"/>
                <w:lang w:val="en-US" w:eastAsia="zh-CN"/>
              </w:rPr>
              <w:t>促</w:t>
            </w:r>
            <w:r>
              <w:rPr>
                <w:rFonts w:hint="default" w:ascii="黑体" w:hAnsi="黑体" w:eastAsia="黑体" w:cs="黑体"/>
                <w:b/>
                <w:bCs w:val="0"/>
                <w:color w:val="auto"/>
                <w:sz w:val="20"/>
                <w:szCs w:val="20"/>
                <w:highlight w:val="none"/>
                <w:lang w:val="en-US" w:eastAsia="zh-CN"/>
              </w:rPr>
              <w:t>进全体教师专业技术</w:t>
            </w:r>
            <w:r>
              <w:rPr>
                <w:rFonts w:hint="eastAsia" w:ascii="黑体" w:hAnsi="黑体" w:eastAsia="黑体" w:cs="黑体"/>
                <w:b/>
                <w:bCs w:val="0"/>
                <w:color w:val="auto"/>
                <w:sz w:val="20"/>
                <w:szCs w:val="20"/>
                <w:highlight w:val="none"/>
                <w:lang w:val="en-US" w:eastAsia="zh-CN"/>
              </w:rPr>
              <w:t>和人文素养</w:t>
            </w:r>
            <w:r>
              <w:rPr>
                <w:rFonts w:hint="default" w:ascii="黑体" w:hAnsi="黑体" w:eastAsia="黑体" w:cs="黑体"/>
                <w:b/>
                <w:bCs w:val="0"/>
                <w:color w:val="auto"/>
                <w:sz w:val="20"/>
                <w:szCs w:val="20"/>
                <w:highlight w:val="none"/>
                <w:lang w:val="en-US" w:eastAsia="zh-CN"/>
              </w:rPr>
              <w:t>成长</w:t>
            </w:r>
            <w:r>
              <w:rPr>
                <w:rFonts w:hint="eastAsia" w:ascii="黑体" w:hAnsi="黑体" w:eastAsia="黑体" w:cs="黑体"/>
                <w:b/>
                <w:bCs w:val="0"/>
                <w:color w:val="auto"/>
                <w:sz w:val="20"/>
                <w:szCs w:val="20"/>
                <w:highlight w:val="none"/>
                <w:lang w:val="en-US" w:eastAsia="zh-CN"/>
              </w:rPr>
              <w:t>。</w:t>
            </w:r>
          </w:p>
          <w:p w14:paraId="71C698F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0"/>
                <w:szCs w:val="20"/>
                <w:highlight w:val="none"/>
                <w:lang w:val="en-US" w:eastAsia="zh-CN"/>
              </w:rPr>
              <w:t>三、继续</w:t>
            </w:r>
            <w:r>
              <w:rPr>
                <w:rFonts w:hint="default" w:ascii="黑体" w:hAnsi="黑体" w:eastAsia="黑体" w:cs="黑体"/>
                <w:b/>
                <w:bCs w:val="0"/>
                <w:color w:val="auto"/>
                <w:sz w:val="20"/>
                <w:szCs w:val="20"/>
                <w:highlight w:val="none"/>
                <w:lang w:val="en-US" w:eastAsia="zh-CN"/>
              </w:rPr>
              <w:t>学习和落实</w:t>
            </w:r>
            <w:r>
              <w:rPr>
                <w:rFonts w:hint="eastAsia" w:ascii="黑体" w:hAnsi="黑体" w:eastAsia="黑体" w:cs="黑体"/>
                <w:b/>
                <w:bCs w:val="0"/>
                <w:color w:val="auto"/>
                <w:sz w:val="20"/>
                <w:szCs w:val="20"/>
                <w:highlight w:val="none"/>
                <w:lang w:val="en-US" w:eastAsia="zh-CN"/>
              </w:rPr>
              <w:t>学校</w:t>
            </w:r>
            <w:r>
              <w:rPr>
                <w:rFonts w:hint="default" w:ascii="黑体" w:hAnsi="黑体" w:eastAsia="黑体" w:cs="黑体"/>
                <w:b/>
                <w:bCs w:val="0"/>
                <w:color w:val="auto"/>
                <w:sz w:val="20"/>
                <w:szCs w:val="20"/>
                <w:highlight w:val="none"/>
                <w:lang w:val="en-US" w:eastAsia="zh-CN"/>
              </w:rPr>
              <w:t>安全教育的一切要求,</w:t>
            </w:r>
            <w:r>
              <w:rPr>
                <w:rFonts w:hint="eastAsia" w:ascii="黑体" w:hAnsi="黑体" w:eastAsia="黑体" w:cs="黑体"/>
                <w:b/>
                <w:bCs w:val="0"/>
                <w:color w:val="auto"/>
                <w:sz w:val="20"/>
                <w:szCs w:val="20"/>
                <w:highlight w:val="none"/>
                <w:lang w:val="en-US" w:eastAsia="zh-CN"/>
              </w:rPr>
              <w:t>执</w:t>
            </w:r>
            <w:r>
              <w:rPr>
                <w:rFonts w:hint="default" w:ascii="黑体" w:hAnsi="黑体" w:eastAsia="黑体" w:cs="黑体"/>
                <w:b/>
                <w:bCs w:val="0"/>
                <w:color w:val="auto"/>
                <w:sz w:val="20"/>
                <w:szCs w:val="20"/>
                <w:highlight w:val="none"/>
                <w:lang w:val="en-US" w:eastAsia="zh-CN"/>
              </w:rPr>
              <w:t>行好</w:t>
            </w:r>
            <w:r>
              <w:rPr>
                <w:rFonts w:hint="eastAsia" w:ascii="黑体" w:hAnsi="黑体" w:eastAsia="黑体" w:cs="黑体"/>
                <w:b/>
                <w:bCs w:val="0"/>
                <w:color w:val="auto"/>
                <w:sz w:val="20"/>
                <w:szCs w:val="20"/>
                <w:highlight w:val="none"/>
                <w:lang w:val="en-US" w:eastAsia="zh-CN"/>
              </w:rPr>
              <w:t>本学年课后</w:t>
            </w:r>
            <w:r>
              <w:rPr>
                <w:rFonts w:hint="default" w:ascii="黑体" w:hAnsi="黑体" w:eastAsia="黑体" w:cs="黑体"/>
                <w:b/>
                <w:bCs w:val="0"/>
                <w:color w:val="auto"/>
                <w:sz w:val="20"/>
                <w:szCs w:val="20"/>
                <w:highlight w:val="none"/>
                <w:lang w:val="en-US" w:eastAsia="zh-CN"/>
              </w:rPr>
              <w:t>服务</w:t>
            </w:r>
            <w:r>
              <w:rPr>
                <w:rFonts w:hint="eastAsia" w:ascii="黑体" w:hAnsi="黑体" w:eastAsia="黑体" w:cs="黑体"/>
                <w:b/>
                <w:bCs w:val="0"/>
                <w:color w:val="auto"/>
                <w:sz w:val="20"/>
                <w:szCs w:val="20"/>
                <w:highlight w:val="none"/>
                <w:lang w:val="en-US" w:eastAsia="zh-CN"/>
              </w:rPr>
              <w:t>一切要求</w:t>
            </w:r>
            <w:r>
              <w:rPr>
                <w:rFonts w:hint="default" w:ascii="黑体" w:hAnsi="黑体" w:eastAsia="黑体" w:cs="黑体"/>
                <w:b/>
                <w:bCs w:val="0"/>
                <w:color w:val="auto"/>
                <w:sz w:val="20"/>
                <w:szCs w:val="20"/>
                <w:highlight w:val="none"/>
                <w:lang w:val="en-US" w:eastAsia="zh-CN"/>
              </w:rPr>
              <w:t>,为学生</w:t>
            </w:r>
            <w:r>
              <w:rPr>
                <w:rFonts w:hint="eastAsia" w:ascii="黑体" w:hAnsi="黑体" w:eastAsia="黑体" w:cs="黑体"/>
                <w:b/>
                <w:bCs w:val="0"/>
                <w:color w:val="auto"/>
                <w:sz w:val="20"/>
                <w:szCs w:val="20"/>
                <w:highlight w:val="none"/>
                <w:lang w:val="en-US" w:eastAsia="zh-CN"/>
              </w:rPr>
              <w:t>提</w:t>
            </w:r>
            <w:r>
              <w:rPr>
                <w:rFonts w:hint="default" w:ascii="黑体" w:hAnsi="黑体" w:eastAsia="黑体" w:cs="黑体"/>
                <w:b/>
                <w:bCs w:val="0"/>
                <w:color w:val="auto"/>
                <w:sz w:val="20"/>
                <w:szCs w:val="20"/>
                <w:highlight w:val="none"/>
                <w:lang w:val="en-US" w:eastAsia="zh-CN"/>
              </w:rPr>
              <w:t>供</w:t>
            </w:r>
            <w:r>
              <w:rPr>
                <w:rFonts w:hint="eastAsia" w:ascii="黑体" w:hAnsi="黑体" w:eastAsia="黑体" w:cs="黑体"/>
                <w:b/>
                <w:bCs w:val="0"/>
                <w:color w:val="auto"/>
                <w:sz w:val="20"/>
                <w:szCs w:val="20"/>
                <w:highlight w:val="none"/>
                <w:lang w:val="en-US" w:eastAsia="zh-CN"/>
              </w:rPr>
              <w:t>最好</w:t>
            </w:r>
            <w:r>
              <w:rPr>
                <w:rFonts w:hint="default" w:ascii="黑体" w:hAnsi="黑体" w:eastAsia="黑体" w:cs="黑体"/>
                <w:b/>
                <w:bCs w:val="0"/>
                <w:color w:val="auto"/>
                <w:sz w:val="20"/>
                <w:szCs w:val="20"/>
                <w:highlight w:val="none"/>
                <w:lang w:val="en-US" w:eastAsia="zh-CN"/>
              </w:rPr>
              <w:t>的安</w:t>
            </w:r>
            <w:r>
              <w:rPr>
                <w:rFonts w:hint="eastAsia" w:ascii="黑体" w:hAnsi="黑体" w:eastAsia="黑体" w:cs="黑体"/>
                <w:b/>
                <w:bCs w:val="0"/>
                <w:color w:val="auto"/>
                <w:sz w:val="20"/>
                <w:szCs w:val="20"/>
                <w:highlight w:val="none"/>
                <w:lang w:val="en-US" w:eastAsia="zh-CN"/>
              </w:rPr>
              <w:t>全</w:t>
            </w:r>
            <w:r>
              <w:rPr>
                <w:rFonts w:hint="default" w:ascii="黑体" w:hAnsi="黑体" w:eastAsia="黑体" w:cs="黑体"/>
                <w:b/>
                <w:bCs w:val="0"/>
                <w:color w:val="auto"/>
                <w:sz w:val="20"/>
                <w:szCs w:val="20"/>
                <w:highlight w:val="none"/>
                <w:lang w:val="en-US" w:eastAsia="zh-CN"/>
              </w:rPr>
              <w:t>有</w:t>
            </w:r>
            <w:r>
              <w:rPr>
                <w:rFonts w:hint="eastAsia" w:ascii="黑体" w:hAnsi="黑体" w:eastAsia="黑体" w:cs="黑体"/>
                <w:b/>
                <w:bCs w:val="0"/>
                <w:color w:val="auto"/>
                <w:sz w:val="20"/>
                <w:szCs w:val="20"/>
                <w:highlight w:val="none"/>
                <w:lang w:val="en-US" w:eastAsia="zh-CN"/>
              </w:rPr>
              <w:t>效课后</w:t>
            </w:r>
            <w:r>
              <w:rPr>
                <w:rFonts w:hint="default" w:ascii="黑体" w:hAnsi="黑体" w:eastAsia="黑体" w:cs="黑体"/>
                <w:b/>
                <w:bCs w:val="0"/>
                <w:color w:val="auto"/>
                <w:sz w:val="20"/>
                <w:szCs w:val="20"/>
                <w:highlight w:val="none"/>
                <w:lang w:val="en-US" w:eastAsia="zh-CN"/>
              </w:rPr>
              <w:t>服务</w:t>
            </w:r>
            <w:r>
              <w:rPr>
                <w:rFonts w:hint="eastAsia" w:ascii="黑体" w:hAnsi="黑体" w:eastAsia="黑体" w:cs="黑体"/>
                <w:b/>
                <w:bCs w:val="0"/>
                <w:color w:val="auto"/>
                <w:sz w:val="20"/>
                <w:szCs w:val="20"/>
                <w:highlight w:val="none"/>
                <w:lang w:val="en-US" w:eastAsia="zh-CN"/>
              </w:rPr>
              <w:t>，</w:t>
            </w:r>
            <w:r>
              <w:rPr>
                <w:rFonts w:hint="default" w:ascii="黑体" w:hAnsi="黑体" w:eastAsia="黑体" w:cs="黑体"/>
                <w:b/>
                <w:bCs w:val="0"/>
                <w:color w:val="auto"/>
                <w:sz w:val="20"/>
                <w:szCs w:val="20"/>
                <w:highlight w:val="none"/>
                <w:lang w:val="en-US" w:eastAsia="zh-CN"/>
              </w:rPr>
              <w:t>为双</w:t>
            </w:r>
            <w:r>
              <w:rPr>
                <w:rFonts w:hint="eastAsia" w:ascii="黑体" w:hAnsi="黑体" w:eastAsia="黑体" w:cs="黑体"/>
                <w:b/>
                <w:bCs w:val="0"/>
                <w:color w:val="auto"/>
                <w:sz w:val="20"/>
                <w:szCs w:val="20"/>
                <w:highlight w:val="none"/>
                <w:lang w:val="en-US" w:eastAsia="zh-CN"/>
              </w:rPr>
              <w:t>减</w:t>
            </w:r>
            <w:r>
              <w:rPr>
                <w:rFonts w:hint="default" w:ascii="黑体" w:hAnsi="黑体" w:eastAsia="黑体" w:cs="黑体"/>
                <w:b/>
                <w:bCs w:val="0"/>
                <w:color w:val="auto"/>
                <w:sz w:val="20"/>
                <w:szCs w:val="20"/>
                <w:highlight w:val="none"/>
                <w:lang w:val="en-US" w:eastAsia="zh-CN"/>
              </w:rPr>
              <w:t>工作做出</w:t>
            </w:r>
            <w:r>
              <w:rPr>
                <w:rFonts w:hint="eastAsia" w:ascii="黑体" w:hAnsi="黑体" w:eastAsia="黑体" w:cs="黑体"/>
                <w:b/>
                <w:bCs w:val="0"/>
                <w:color w:val="auto"/>
                <w:sz w:val="20"/>
                <w:szCs w:val="20"/>
                <w:highlight w:val="none"/>
                <w:lang w:val="en-US" w:eastAsia="zh-CN"/>
              </w:rPr>
              <w:t>贡献。</w:t>
            </w:r>
          </w:p>
        </w:tc>
      </w:tr>
    </w:tbl>
    <w:p w14:paraId="1FA7552F">
      <w:pPr>
        <w:ind w:firstLine="2650" w:firstLineChars="11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93FFB1">
      <w:pPr>
        <w:spacing w:line="420" w:lineRule="exact"/>
        <w:ind w:firstLine="2429" w:firstLineChars="11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6</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15</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12月15日-12月19日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0F90BF9"/>
    <w:rsid w:val="014801CD"/>
    <w:rsid w:val="02594F61"/>
    <w:rsid w:val="028D5A1C"/>
    <w:rsid w:val="028F7F63"/>
    <w:rsid w:val="02C22234"/>
    <w:rsid w:val="02DE65B9"/>
    <w:rsid w:val="03A27233"/>
    <w:rsid w:val="045D235C"/>
    <w:rsid w:val="04E628CF"/>
    <w:rsid w:val="05051763"/>
    <w:rsid w:val="0530509F"/>
    <w:rsid w:val="05567F31"/>
    <w:rsid w:val="05866AB5"/>
    <w:rsid w:val="05A36F5B"/>
    <w:rsid w:val="05D851FD"/>
    <w:rsid w:val="06527482"/>
    <w:rsid w:val="06D25D4A"/>
    <w:rsid w:val="06F7130D"/>
    <w:rsid w:val="07511A01"/>
    <w:rsid w:val="088233DE"/>
    <w:rsid w:val="09D047EE"/>
    <w:rsid w:val="09F030DD"/>
    <w:rsid w:val="0B526EBF"/>
    <w:rsid w:val="0BBA2D56"/>
    <w:rsid w:val="0C31212C"/>
    <w:rsid w:val="0D4747AB"/>
    <w:rsid w:val="0DAF2DDB"/>
    <w:rsid w:val="0EA35ED0"/>
    <w:rsid w:val="0F43762D"/>
    <w:rsid w:val="10545A22"/>
    <w:rsid w:val="10681728"/>
    <w:rsid w:val="10B35AAF"/>
    <w:rsid w:val="10B618A7"/>
    <w:rsid w:val="111F7805"/>
    <w:rsid w:val="11A14FA5"/>
    <w:rsid w:val="12887F8A"/>
    <w:rsid w:val="13434F53"/>
    <w:rsid w:val="13623421"/>
    <w:rsid w:val="14BF71E2"/>
    <w:rsid w:val="14D82C3A"/>
    <w:rsid w:val="158460E9"/>
    <w:rsid w:val="15BB2ADE"/>
    <w:rsid w:val="15C23817"/>
    <w:rsid w:val="16D60CAC"/>
    <w:rsid w:val="177B4380"/>
    <w:rsid w:val="17BB172F"/>
    <w:rsid w:val="182055BE"/>
    <w:rsid w:val="18C7669D"/>
    <w:rsid w:val="199B021E"/>
    <w:rsid w:val="19AC210A"/>
    <w:rsid w:val="1A1675B1"/>
    <w:rsid w:val="1B8C3B3C"/>
    <w:rsid w:val="1C5E6390"/>
    <w:rsid w:val="1CDF5F80"/>
    <w:rsid w:val="1CF82188"/>
    <w:rsid w:val="1E2D4106"/>
    <w:rsid w:val="1F2B4E33"/>
    <w:rsid w:val="1F422EEA"/>
    <w:rsid w:val="1F770405"/>
    <w:rsid w:val="203F0C4B"/>
    <w:rsid w:val="20B3409F"/>
    <w:rsid w:val="211B1C44"/>
    <w:rsid w:val="21742401"/>
    <w:rsid w:val="21CE6CB6"/>
    <w:rsid w:val="23EB3B50"/>
    <w:rsid w:val="24661379"/>
    <w:rsid w:val="24E62787"/>
    <w:rsid w:val="251C7E2F"/>
    <w:rsid w:val="260D7B17"/>
    <w:rsid w:val="26EA3D0A"/>
    <w:rsid w:val="27BD211F"/>
    <w:rsid w:val="28CB7D53"/>
    <w:rsid w:val="290D32A5"/>
    <w:rsid w:val="2939309E"/>
    <w:rsid w:val="2B7A40E8"/>
    <w:rsid w:val="2B980D6E"/>
    <w:rsid w:val="2E576504"/>
    <w:rsid w:val="30DD42F6"/>
    <w:rsid w:val="327A231A"/>
    <w:rsid w:val="327B58D7"/>
    <w:rsid w:val="33930721"/>
    <w:rsid w:val="347B4AC2"/>
    <w:rsid w:val="3498396F"/>
    <w:rsid w:val="34E82786"/>
    <w:rsid w:val="34FC72B3"/>
    <w:rsid w:val="36374D70"/>
    <w:rsid w:val="379934C3"/>
    <w:rsid w:val="387F4594"/>
    <w:rsid w:val="389969B2"/>
    <w:rsid w:val="38A97597"/>
    <w:rsid w:val="38DD3F57"/>
    <w:rsid w:val="3A7333BB"/>
    <w:rsid w:val="3CA26845"/>
    <w:rsid w:val="3E8B6203"/>
    <w:rsid w:val="3F053A61"/>
    <w:rsid w:val="3FAD2B55"/>
    <w:rsid w:val="3FF913D6"/>
    <w:rsid w:val="402351CF"/>
    <w:rsid w:val="4177481D"/>
    <w:rsid w:val="41EF4707"/>
    <w:rsid w:val="41F1148A"/>
    <w:rsid w:val="4260230D"/>
    <w:rsid w:val="42C615B8"/>
    <w:rsid w:val="42CA1646"/>
    <w:rsid w:val="43C65DA8"/>
    <w:rsid w:val="43E13340"/>
    <w:rsid w:val="443D515D"/>
    <w:rsid w:val="44EA6156"/>
    <w:rsid w:val="457C15E8"/>
    <w:rsid w:val="45895005"/>
    <w:rsid w:val="461D4C8A"/>
    <w:rsid w:val="4690404D"/>
    <w:rsid w:val="46EB783F"/>
    <w:rsid w:val="478A280B"/>
    <w:rsid w:val="48601C6A"/>
    <w:rsid w:val="486C0B36"/>
    <w:rsid w:val="49D22F38"/>
    <w:rsid w:val="4A205A52"/>
    <w:rsid w:val="4AC97E97"/>
    <w:rsid w:val="4AEB7510"/>
    <w:rsid w:val="4AF500D7"/>
    <w:rsid w:val="4B496369"/>
    <w:rsid w:val="4B6D3B95"/>
    <w:rsid w:val="4C2231E7"/>
    <w:rsid w:val="4C981403"/>
    <w:rsid w:val="4CAA0932"/>
    <w:rsid w:val="4D105925"/>
    <w:rsid w:val="4D607674"/>
    <w:rsid w:val="4D6466DF"/>
    <w:rsid w:val="4D6A79D6"/>
    <w:rsid w:val="4ED9434F"/>
    <w:rsid w:val="4F357F15"/>
    <w:rsid w:val="517D19DC"/>
    <w:rsid w:val="52393FA7"/>
    <w:rsid w:val="53FE2A87"/>
    <w:rsid w:val="55243DA4"/>
    <w:rsid w:val="555F288E"/>
    <w:rsid w:val="577A2C8E"/>
    <w:rsid w:val="58142C72"/>
    <w:rsid w:val="58B308FD"/>
    <w:rsid w:val="58F564A4"/>
    <w:rsid w:val="591114C2"/>
    <w:rsid w:val="5A4B6DE2"/>
    <w:rsid w:val="5BEB7FA3"/>
    <w:rsid w:val="5C4017E9"/>
    <w:rsid w:val="5D3E0931"/>
    <w:rsid w:val="5D6E3702"/>
    <w:rsid w:val="5D747E71"/>
    <w:rsid w:val="5EA67CD0"/>
    <w:rsid w:val="5F861249"/>
    <w:rsid w:val="5FC24C6E"/>
    <w:rsid w:val="606A5184"/>
    <w:rsid w:val="61B2747F"/>
    <w:rsid w:val="62F576D8"/>
    <w:rsid w:val="638066CE"/>
    <w:rsid w:val="63FB04F2"/>
    <w:rsid w:val="6462595A"/>
    <w:rsid w:val="64F54B93"/>
    <w:rsid w:val="65F908FD"/>
    <w:rsid w:val="666E7B9C"/>
    <w:rsid w:val="66764926"/>
    <w:rsid w:val="66AE31B7"/>
    <w:rsid w:val="67540C8B"/>
    <w:rsid w:val="68170D40"/>
    <w:rsid w:val="699277B5"/>
    <w:rsid w:val="6A022CE0"/>
    <w:rsid w:val="6B48768B"/>
    <w:rsid w:val="6C107519"/>
    <w:rsid w:val="6CE54CDA"/>
    <w:rsid w:val="6D0413A9"/>
    <w:rsid w:val="6E5D43FD"/>
    <w:rsid w:val="6F392F8E"/>
    <w:rsid w:val="6FF677BA"/>
    <w:rsid w:val="70726E22"/>
    <w:rsid w:val="71094BE2"/>
    <w:rsid w:val="714C39D4"/>
    <w:rsid w:val="71F614AF"/>
    <w:rsid w:val="734C63BF"/>
    <w:rsid w:val="75EF6053"/>
    <w:rsid w:val="77E22B1D"/>
    <w:rsid w:val="78A57789"/>
    <w:rsid w:val="79530B3A"/>
    <w:rsid w:val="798B2AB7"/>
    <w:rsid w:val="7A4D5C62"/>
    <w:rsid w:val="7DDC134B"/>
    <w:rsid w:val="7DE821FC"/>
    <w:rsid w:val="7E586E4E"/>
    <w:rsid w:val="7ED736FA"/>
    <w:rsid w:val="7EFF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1007</Words>
  <Characters>1045</Characters>
  <Lines>0</Lines>
  <Paragraphs>0</Paragraphs>
  <TotalTime>0</TotalTime>
  <ScaleCrop>false</ScaleCrop>
  <LinksUpToDate>false</LinksUpToDate>
  <CharactersWithSpaces>1053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2025-12-11T04:52:00Z</cp:lastPrinted>
  <dcterms:modified xsi:type="dcterms:W3CDTF">2025-12-11T06:00:33Z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